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4ADA9BB" w14:textId="77777777" w:rsidR="00BF7208" w:rsidRPr="000305A7" w:rsidRDefault="00BF7208" w:rsidP="000865B3">
      <w:pPr>
        <w:jc w:val="center"/>
        <w:rPr>
          <w:rFonts w:ascii="Times New Roman" w:hAnsi="Times New Roman" w:cs="Times New Roman"/>
          <w:b/>
          <w:bCs/>
          <w:sz w:val="44"/>
          <w:szCs w:val="30"/>
        </w:rPr>
      </w:pPr>
    </w:p>
    <w:p w14:paraId="6555199D" w14:textId="77777777" w:rsidR="00BF7208" w:rsidRPr="000305A7" w:rsidRDefault="00BF7208" w:rsidP="000865B3">
      <w:pPr>
        <w:jc w:val="center"/>
        <w:rPr>
          <w:rFonts w:ascii="Times New Roman" w:hAnsi="Times New Roman" w:cs="Times New Roman"/>
          <w:b/>
          <w:bCs/>
          <w:sz w:val="44"/>
          <w:szCs w:val="30"/>
        </w:rPr>
      </w:pPr>
    </w:p>
    <w:p w14:paraId="0CC47C19" w14:textId="2031C891" w:rsidR="00DF25A3" w:rsidRPr="000305A7" w:rsidRDefault="00957E5A" w:rsidP="000865B3">
      <w:pPr>
        <w:jc w:val="center"/>
        <w:rPr>
          <w:rFonts w:ascii="Times New Roman" w:hAnsi="Times New Roman" w:cs="Times New Roman"/>
          <w:b/>
          <w:bCs/>
          <w:sz w:val="44"/>
          <w:szCs w:val="30"/>
        </w:rPr>
      </w:pPr>
      <w:proofErr w:type="gramStart"/>
      <w:r w:rsidRPr="000305A7">
        <w:rPr>
          <w:rFonts w:ascii="Times New Roman" w:hAnsi="Times New Roman" w:cs="Times New Roman" w:hint="eastAsia"/>
          <w:b/>
          <w:bCs/>
          <w:sz w:val="44"/>
          <w:szCs w:val="30"/>
        </w:rPr>
        <w:t>万家瑞尧灵活</w:t>
      </w:r>
      <w:proofErr w:type="gramEnd"/>
      <w:r w:rsidRPr="000305A7">
        <w:rPr>
          <w:rFonts w:ascii="Times New Roman" w:hAnsi="Times New Roman" w:cs="Times New Roman" w:hint="eastAsia"/>
          <w:b/>
          <w:bCs/>
          <w:sz w:val="44"/>
          <w:szCs w:val="30"/>
        </w:rPr>
        <w:t>配置混合型证券投资基金</w:t>
      </w:r>
      <w:r w:rsidR="004A2CCB" w:rsidRPr="000305A7">
        <w:rPr>
          <w:rFonts w:ascii="Times New Roman" w:hAnsi="Times New Roman" w:cs="Times New Roman" w:hint="eastAsia"/>
          <w:b/>
          <w:bCs/>
          <w:sz w:val="44"/>
          <w:szCs w:val="30"/>
        </w:rPr>
        <w:t xml:space="preserve">  </w:t>
      </w:r>
      <w:r w:rsidR="00DF25A3" w:rsidRPr="000305A7">
        <w:rPr>
          <w:rFonts w:ascii="Times New Roman" w:hAnsi="Times New Roman" w:cs="Times New Roman" w:hint="eastAsia"/>
          <w:b/>
          <w:bCs/>
          <w:sz w:val="44"/>
          <w:szCs w:val="30"/>
        </w:rPr>
        <w:t>清算报告</w:t>
      </w:r>
    </w:p>
    <w:p w14:paraId="09DB742A" w14:textId="77777777" w:rsidR="00910024" w:rsidRPr="000305A7" w:rsidRDefault="00910024" w:rsidP="00910024">
      <w:pPr>
        <w:rPr>
          <w:rFonts w:ascii="Times New Roman" w:hAnsi="Times New Roman"/>
        </w:rPr>
      </w:pPr>
    </w:p>
    <w:p w14:paraId="430420A3" w14:textId="77777777" w:rsidR="00910024" w:rsidRPr="000305A7" w:rsidRDefault="00910024" w:rsidP="00910024">
      <w:pPr>
        <w:rPr>
          <w:rFonts w:ascii="Times New Roman" w:hAnsi="Times New Roman"/>
        </w:rPr>
      </w:pPr>
    </w:p>
    <w:p w14:paraId="1064DB98" w14:textId="77777777" w:rsidR="00910024" w:rsidRPr="000305A7" w:rsidRDefault="00910024" w:rsidP="00910024">
      <w:pPr>
        <w:rPr>
          <w:rFonts w:ascii="Times New Roman" w:hAnsi="Times New Roman"/>
        </w:rPr>
      </w:pPr>
    </w:p>
    <w:p w14:paraId="0849098C" w14:textId="77777777" w:rsidR="00910024" w:rsidRPr="000305A7" w:rsidRDefault="00910024" w:rsidP="00910024">
      <w:pPr>
        <w:rPr>
          <w:rFonts w:ascii="Times New Roman" w:hAnsi="Times New Roman"/>
        </w:rPr>
      </w:pPr>
    </w:p>
    <w:p w14:paraId="75000397" w14:textId="77777777" w:rsidR="00910024" w:rsidRPr="000305A7" w:rsidRDefault="00910024" w:rsidP="00910024">
      <w:pPr>
        <w:rPr>
          <w:rFonts w:ascii="Times New Roman" w:hAnsi="Times New Roman"/>
        </w:rPr>
      </w:pPr>
    </w:p>
    <w:p w14:paraId="1C96BFDA" w14:textId="77777777" w:rsidR="00910024" w:rsidRPr="000305A7" w:rsidRDefault="00910024" w:rsidP="00910024">
      <w:pPr>
        <w:rPr>
          <w:rFonts w:ascii="Times New Roman" w:hAnsi="Times New Roman"/>
        </w:rPr>
      </w:pPr>
    </w:p>
    <w:p w14:paraId="5E4ADBBF" w14:textId="77777777" w:rsidR="00910024" w:rsidRPr="000305A7" w:rsidRDefault="00910024" w:rsidP="00910024">
      <w:pPr>
        <w:rPr>
          <w:rFonts w:ascii="Times New Roman" w:hAnsi="Times New Roman"/>
        </w:rPr>
      </w:pPr>
    </w:p>
    <w:p w14:paraId="78DD0826" w14:textId="77777777" w:rsidR="00910024" w:rsidRPr="000305A7" w:rsidRDefault="00910024" w:rsidP="00910024">
      <w:pPr>
        <w:rPr>
          <w:rFonts w:ascii="Times New Roman" w:hAnsi="Times New Roman"/>
        </w:rPr>
      </w:pPr>
    </w:p>
    <w:p w14:paraId="528E8ADF" w14:textId="77777777" w:rsidR="00910024" w:rsidRPr="000305A7" w:rsidRDefault="00910024" w:rsidP="00910024">
      <w:pPr>
        <w:rPr>
          <w:rFonts w:ascii="Times New Roman" w:hAnsi="Times New Roman"/>
        </w:rPr>
      </w:pPr>
    </w:p>
    <w:p w14:paraId="41726A99" w14:textId="77777777" w:rsidR="00910024" w:rsidRPr="000305A7" w:rsidRDefault="00910024" w:rsidP="00910024">
      <w:pPr>
        <w:rPr>
          <w:rFonts w:ascii="Times New Roman" w:hAnsi="Times New Roman"/>
        </w:rPr>
      </w:pPr>
    </w:p>
    <w:p w14:paraId="5D704466" w14:textId="77777777" w:rsidR="00910024" w:rsidRPr="000305A7" w:rsidRDefault="00910024" w:rsidP="00910024">
      <w:pPr>
        <w:rPr>
          <w:rFonts w:ascii="Times New Roman" w:hAnsi="Times New Roman"/>
        </w:rPr>
      </w:pPr>
    </w:p>
    <w:p w14:paraId="36FCEE92" w14:textId="77777777" w:rsidR="00910024" w:rsidRPr="000305A7" w:rsidRDefault="00910024" w:rsidP="00910024">
      <w:pPr>
        <w:rPr>
          <w:rFonts w:ascii="Times New Roman" w:hAnsi="Times New Roman"/>
        </w:rPr>
      </w:pPr>
    </w:p>
    <w:p w14:paraId="20593800" w14:textId="77777777" w:rsidR="00910024" w:rsidRPr="000305A7" w:rsidRDefault="00910024" w:rsidP="00910024">
      <w:pPr>
        <w:rPr>
          <w:rFonts w:ascii="Times New Roman" w:hAnsi="Times New Roman"/>
        </w:rPr>
      </w:pPr>
    </w:p>
    <w:p w14:paraId="19C60D20" w14:textId="77777777" w:rsidR="00910024" w:rsidRPr="000305A7" w:rsidRDefault="00910024" w:rsidP="00910024">
      <w:pPr>
        <w:rPr>
          <w:rFonts w:ascii="Times New Roman" w:hAnsi="Times New Roman"/>
        </w:rPr>
      </w:pPr>
    </w:p>
    <w:p w14:paraId="5DF25625" w14:textId="77777777" w:rsidR="00910024" w:rsidRPr="000305A7" w:rsidRDefault="00910024" w:rsidP="00910024">
      <w:pPr>
        <w:rPr>
          <w:rFonts w:ascii="Times New Roman" w:hAnsi="Times New Roman"/>
        </w:rPr>
      </w:pPr>
    </w:p>
    <w:p w14:paraId="34DFBB42" w14:textId="77777777" w:rsidR="00910024" w:rsidRPr="000305A7" w:rsidRDefault="00910024" w:rsidP="00910024">
      <w:pPr>
        <w:rPr>
          <w:rFonts w:ascii="Times New Roman" w:hAnsi="Times New Roman"/>
        </w:rPr>
      </w:pPr>
    </w:p>
    <w:p w14:paraId="061FA973" w14:textId="77777777" w:rsidR="00910024" w:rsidRPr="000305A7" w:rsidRDefault="00910024" w:rsidP="00910024">
      <w:pPr>
        <w:rPr>
          <w:rFonts w:ascii="Times New Roman" w:hAnsi="Times New Roman"/>
        </w:rPr>
      </w:pPr>
    </w:p>
    <w:p w14:paraId="07B4456C" w14:textId="77777777" w:rsidR="00910024" w:rsidRPr="000305A7" w:rsidRDefault="00910024" w:rsidP="00910024">
      <w:pPr>
        <w:rPr>
          <w:rFonts w:ascii="Times New Roman" w:hAnsi="Times New Roman"/>
        </w:rPr>
      </w:pPr>
    </w:p>
    <w:p w14:paraId="29D7ECE5" w14:textId="77777777" w:rsidR="00910024" w:rsidRPr="000305A7" w:rsidRDefault="00910024" w:rsidP="00910024">
      <w:pPr>
        <w:rPr>
          <w:rFonts w:ascii="Times New Roman" w:hAnsi="Times New Roman"/>
        </w:rPr>
      </w:pPr>
    </w:p>
    <w:p w14:paraId="5BA7CA8E" w14:textId="77777777" w:rsidR="00910024" w:rsidRPr="000305A7" w:rsidRDefault="00910024" w:rsidP="00910024">
      <w:pPr>
        <w:ind w:firstLineChars="600" w:firstLine="1687"/>
        <w:rPr>
          <w:rFonts w:ascii="Times New Roman" w:hAnsi="Times New Roman" w:cs="Times New Roman"/>
          <w:b/>
          <w:bCs/>
          <w:sz w:val="28"/>
          <w:szCs w:val="28"/>
        </w:rPr>
      </w:pPr>
      <w:r w:rsidRPr="000305A7">
        <w:rPr>
          <w:rFonts w:ascii="Times New Roman" w:hAnsi="Times New Roman" w:cs="Times New Roman" w:hint="eastAsia"/>
          <w:b/>
          <w:bCs/>
          <w:sz w:val="28"/>
          <w:szCs w:val="28"/>
        </w:rPr>
        <w:t>基金管理人：万家基金管理有限公司</w:t>
      </w:r>
    </w:p>
    <w:p w14:paraId="4F12A0B9" w14:textId="06580AD5" w:rsidR="00910024" w:rsidRPr="000305A7" w:rsidRDefault="00910024" w:rsidP="0097219C">
      <w:pPr>
        <w:ind w:firstLineChars="600" w:firstLine="1687"/>
        <w:rPr>
          <w:rFonts w:ascii="Times New Roman" w:hAnsi="Times New Roman" w:cs="Times New Roman"/>
          <w:b/>
          <w:bCs/>
          <w:sz w:val="28"/>
          <w:szCs w:val="28"/>
        </w:rPr>
      </w:pPr>
      <w:r w:rsidRPr="000305A7">
        <w:rPr>
          <w:rFonts w:ascii="Times New Roman" w:hAnsi="Times New Roman" w:cs="Times New Roman" w:hint="eastAsia"/>
          <w:b/>
          <w:bCs/>
          <w:sz w:val="28"/>
          <w:szCs w:val="28"/>
        </w:rPr>
        <w:t>基金托管人：</w:t>
      </w:r>
      <w:r w:rsidR="004A2CCB" w:rsidRPr="000305A7">
        <w:rPr>
          <w:rFonts w:ascii="Times New Roman" w:hAnsi="Times New Roman" w:cs="Times New Roman" w:hint="eastAsia"/>
          <w:b/>
          <w:bCs/>
          <w:sz w:val="28"/>
          <w:szCs w:val="28"/>
        </w:rPr>
        <w:t>上海</w:t>
      </w:r>
      <w:r w:rsidR="0097219C" w:rsidRPr="000305A7">
        <w:rPr>
          <w:rFonts w:ascii="Times New Roman" w:hAnsi="Times New Roman" w:cs="Times New Roman" w:hint="eastAsia"/>
          <w:b/>
          <w:bCs/>
          <w:sz w:val="28"/>
          <w:szCs w:val="28"/>
        </w:rPr>
        <w:t>银行股份有限公司</w:t>
      </w:r>
    </w:p>
    <w:p w14:paraId="18ACABB5" w14:textId="35EDC549" w:rsidR="00910024" w:rsidRPr="000305A7" w:rsidRDefault="00910024" w:rsidP="00910024">
      <w:pPr>
        <w:ind w:firstLineChars="600" w:firstLine="1687"/>
        <w:rPr>
          <w:rFonts w:ascii="Times New Roman" w:hAnsi="Times New Roman" w:cs="Times New Roman"/>
          <w:b/>
          <w:bCs/>
          <w:sz w:val="28"/>
          <w:szCs w:val="28"/>
        </w:rPr>
      </w:pPr>
      <w:r w:rsidRPr="000305A7">
        <w:rPr>
          <w:rFonts w:ascii="Times New Roman" w:hAnsi="Times New Roman" w:cs="Times New Roman" w:hint="eastAsia"/>
          <w:b/>
          <w:bCs/>
          <w:sz w:val="28"/>
          <w:szCs w:val="28"/>
        </w:rPr>
        <w:t>清算报告出具日</w:t>
      </w:r>
      <w:r w:rsidRPr="001C72AF">
        <w:rPr>
          <w:rFonts w:ascii="Times New Roman" w:hAnsi="Times New Roman" w:cs="Times New Roman" w:hint="eastAsia"/>
          <w:b/>
          <w:bCs/>
          <w:sz w:val="28"/>
          <w:szCs w:val="28"/>
        </w:rPr>
        <w:t>：</w:t>
      </w:r>
      <w:r w:rsidRPr="001C72AF">
        <w:rPr>
          <w:rFonts w:ascii="Times New Roman" w:hAnsi="Times New Roman" w:cs="Times New Roman" w:hint="eastAsia"/>
          <w:b/>
          <w:bCs/>
          <w:sz w:val="28"/>
          <w:szCs w:val="28"/>
        </w:rPr>
        <w:t>2</w:t>
      </w:r>
      <w:r w:rsidRPr="001C72AF">
        <w:rPr>
          <w:rFonts w:ascii="Times New Roman" w:hAnsi="Times New Roman" w:cs="Times New Roman"/>
          <w:b/>
          <w:bCs/>
          <w:sz w:val="28"/>
          <w:szCs w:val="28"/>
        </w:rPr>
        <w:t>02</w:t>
      </w:r>
      <w:r w:rsidR="004A2CCB" w:rsidRPr="001C72AF">
        <w:rPr>
          <w:rFonts w:ascii="Times New Roman" w:hAnsi="Times New Roman" w:cs="Times New Roman" w:hint="eastAsia"/>
          <w:b/>
          <w:bCs/>
          <w:sz w:val="28"/>
          <w:szCs w:val="28"/>
        </w:rPr>
        <w:t>4</w:t>
      </w:r>
      <w:r w:rsidRPr="001C72AF">
        <w:rPr>
          <w:rFonts w:ascii="Times New Roman" w:hAnsi="Times New Roman" w:cs="Times New Roman" w:hint="eastAsia"/>
          <w:b/>
          <w:bCs/>
          <w:sz w:val="28"/>
          <w:szCs w:val="28"/>
        </w:rPr>
        <w:t>年</w:t>
      </w:r>
      <w:r w:rsidR="00957E5A" w:rsidRPr="001C72AF">
        <w:rPr>
          <w:rFonts w:ascii="Times New Roman" w:hAnsi="Times New Roman" w:cs="Times New Roman"/>
          <w:b/>
          <w:bCs/>
          <w:sz w:val="28"/>
          <w:szCs w:val="28"/>
        </w:rPr>
        <w:t>11</w:t>
      </w:r>
      <w:r w:rsidRPr="001C72AF">
        <w:rPr>
          <w:rFonts w:ascii="Times New Roman" w:hAnsi="Times New Roman" w:cs="Times New Roman" w:hint="eastAsia"/>
          <w:b/>
          <w:bCs/>
          <w:sz w:val="28"/>
          <w:szCs w:val="28"/>
        </w:rPr>
        <w:t>月</w:t>
      </w:r>
      <w:r w:rsidR="00901F25" w:rsidRPr="001C72AF">
        <w:rPr>
          <w:rFonts w:ascii="Times New Roman" w:hAnsi="Times New Roman" w:cs="Times New Roman"/>
          <w:b/>
          <w:bCs/>
          <w:sz w:val="28"/>
          <w:szCs w:val="28"/>
        </w:rPr>
        <w:t>2</w:t>
      </w:r>
      <w:r w:rsidR="00DF7BC4" w:rsidRPr="001C72AF">
        <w:rPr>
          <w:rFonts w:ascii="Times New Roman" w:hAnsi="Times New Roman" w:cs="Times New Roman"/>
          <w:b/>
          <w:bCs/>
          <w:sz w:val="28"/>
          <w:szCs w:val="28"/>
        </w:rPr>
        <w:t>2</w:t>
      </w:r>
      <w:r w:rsidRPr="001C72AF">
        <w:rPr>
          <w:rFonts w:ascii="Times New Roman" w:hAnsi="Times New Roman" w:cs="Times New Roman" w:hint="eastAsia"/>
          <w:b/>
          <w:bCs/>
          <w:sz w:val="28"/>
          <w:szCs w:val="28"/>
        </w:rPr>
        <w:t>日</w:t>
      </w:r>
    </w:p>
    <w:p w14:paraId="3343F1B5" w14:textId="56176848" w:rsidR="00910024" w:rsidRPr="000305A7" w:rsidRDefault="00910024" w:rsidP="00910024">
      <w:pPr>
        <w:ind w:firstLineChars="600" w:firstLine="1687"/>
        <w:rPr>
          <w:rFonts w:ascii="Times New Roman" w:hAnsi="Times New Roman" w:cs="Times New Roman"/>
          <w:b/>
          <w:bCs/>
          <w:sz w:val="28"/>
          <w:szCs w:val="28"/>
        </w:rPr>
      </w:pPr>
      <w:r w:rsidRPr="000305A7">
        <w:rPr>
          <w:rFonts w:ascii="Times New Roman" w:hAnsi="Times New Roman" w:cs="Times New Roman" w:hint="eastAsia"/>
          <w:b/>
          <w:bCs/>
          <w:sz w:val="28"/>
          <w:szCs w:val="28"/>
        </w:rPr>
        <w:t>清算报告公告日：</w:t>
      </w:r>
      <w:r w:rsidRPr="000305A7">
        <w:rPr>
          <w:rFonts w:ascii="Times New Roman" w:hAnsi="Times New Roman" w:cs="Times New Roman" w:hint="eastAsia"/>
          <w:b/>
          <w:bCs/>
          <w:sz w:val="28"/>
          <w:szCs w:val="28"/>
        </w:rPr>
        <w:t>20</w:t>
      </w:r>
      <w:r w:rsidRPr="000305A7">
        <w:rPr>
          <w:rFonts w:ascii="Times New Roman" w:hAnsi="Times New Roman" w:cs="Times New Roman"/>
          <w:b/>
          <w:bCs/>
          <w:sz w:val="28"/>
          <w:szCs w:val="28"/>
        </w:rPr>
        <w:t>2</w:t>
      </w:r>
      <w:r w:rsidR="004A2CCB" w:rsidRPr="000305A7">
        <w:rPr>
          <w:rFonts w:ascii="Times New Roman" w:hAnsi="Times New Roman" w:cs="Times New Roman" w:hint="eastAsia"/>
          <w:b/>
          <w:bCs/>
          <w:sz w:val="28"/>
          <w:szCs w:val="28"/>
        </w:rPr>
        <w:t>4</w:t>
      </w:r>
      <w:r w:rsidRPr="000305A7">
        <w:rPr>
          <w:rFonts w:ascii="Times New Roman" w:hAnsi="Times New Roman" w:cs="Times New Roman" w:hint="eastAsia"/>
          <w:b/>
          <w:bCs/>
          <w:sz w:val="28"/>
          <w:szCs w:val="28"/>
        </w:rPr>
        <w:t>年</w:t>
      </w:r>
      <w:r w:rsidR="00957E5A" w:rsidRPr="000305A7">
        <w:rPr>
          <w:rFonts w:ascii="Times New Roman" w:hAnsi="Times New Roman" w:cs="Times New Roman"/>
          <w:b/>
          <w:bCs/>
          <w:sz w:val="28"/>
          <w:szCs w:val="28"/>
        </w:rPr>
        <w:t>11</w:t>
      </w:r>
      <w:r w:rsidRPr="000305A7">
        <w:rPr>
          <w:rFonts w:ascii="Times New Roman" w:hAnsi="Times New Roman" w:cs="Times New Roman" w:hint="eastAsia"/>
          <w:b/>
          <w:bCs/>
          <w:sz w:val="28"/>
          <w:szCs w:val="28"/>
        </w:rPr>
        <w:t>月</w:t>
      </w:r>
      <w:r w:rsidR="003D2F7B">
        <w:rPr>
          <w:rFonts w:ascii="Times New Roman" w:hAnsi="Times New Roman" w:cs="Times New Roman"/>
          <w:b/>
          <w:bCs/>
          <w:sz w:val="28"/>
          <w:szCs w:val="28"/>
        </w:rPr>
        <w:t>28</w:t>
      </w:r>
      <w:r w:rsidRPr="000305A7">
        <w:rPr>
          <w:rFonts w:ascii="Times New Roman" w:hAnsi="Times New Roman" w:cs="Times New Roman" w:hint="eastAsia"/>
          <w:b/>
          <w:bCs/>
          <w:sz w:val="28"/>
          <w:szCs w:val="28"/>
        </w:rPr>
        <w:t>日</w:t>
      </w:r>
    </w:p>
    <w:p w14:paraId="509C7403" w14:textId="77777777" w:rsidR="00910024" w:rsidRPr="000305A7" w:rsidRDefault="00910024" w:rsidP="00910024">
      <w:pPr>
        <w:rPr>
          <w:rFonts w:ascii="Times New Roman" w:hAnsi="Times New Roman"/>
          <w:sz w:val="20"/>
        </w:rPr>
      </w:pPr>
    </w:p>
    <w:p w14:paraId="1D1B66F7" w14:textId="77777777" w:rsidR="00910024" w:rsidRPr="000305A7" w:rsidRDefault="00910024" w:rsidP="00B03BF8">
      <w:pPr>
        <w:widowControl/>
        <w:rPr>
          <w:rFonts w:ascii="Times New Roman" w:hAnsi="Times New Roman"/>
          <w:sz w:val="20"/>
        </w:rPr>
      </w:pPr>
      <w:r w:rsidRPr="000305A7">
        <w:rPr>
          <w:rFonts w:ascii="Times New Roman" w:hAnsi="Times New Roman"/>
          <w:sz w:val="20"/>
        </w:rPr>
        <w:br w:type="page"/>
      </w:r>
    </w:p>
    <w:p w14:paraId="40B01EC2" w14:textId="77777777" w:rsidR="00EC3346" w:rsidRPr="000305A7" w:rsidRDefault="00DF25A3" w:rsidP="009D0A4F">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lastRenderedPageBreak/>
        <w:t>一、重要提示</w:t>
      </w:r>
    </w:p>
    <w:p w14:paraId="565EB0A9" w14:textId="00BE12B7" w:rsidR="00647F8B" w:rsidRPr="000305A7" w:rsidRDefault="00647F8B" w:rsidP="002213A3">
      <w:pPr>
        <w:adjustRightInd w:val="0"/>
        <w:snapToGrid w:val="0"/>
        <w:spacing w:line="312" w:lineRule="auto"/>
        <w:ind w:firstLineChars="200" w:firstLine="420"/>
        <w:rPr>
          <w:rFonts w:ascii="Times New Roman" w:eastAsia="宋体" w:hAnsi="Times New Roman"/>
          <w:szCs w:val="24"/>
        </w:rPr>
      </w:pPr>
      <w:proofErr w:type="gramStart"/>
      <w:r w:rsidRPr="000305A7">
        <w:rPr>
          <w:rFonts w:ascii="Times New Roman" w:eastAsia="宋体" w:hAnsi="Times New Roman" w:hint="eastAsia"/>
          <w:szCs w:val="24"/>
        </w:rPr>
        <w:t>万家瑞尧灵活</w:t>
      </w:r>
      <w:proofErr w:type="gramEnd"/>
      <w:r w:rsidRPr="000305A7">
        <w:rPr>
          <w:rFonts w:ascii="Times New Roman" w:eastAsia="宋体" w:hAnsi="Times New Roman" w:hint="eastAsia"/>
          <w:szCs w:val="24"/>
        </w:rPr>
        <w:t>配置混合型证券投资基金（以下简称“本基金”），系经中国证券监督管理委员会（以下简称“中国证监会”）证监许可</w:t>
      </w:r>
      <w:r w:rsidRPr="000305A7">
        <w:rPr>
          <w:rFonts w:ascii="Times New Roman" w:eastAsia="宋体" w:hAnsi="Times New Roman" w:hint="eastAsia"/>
          <w:szCs w:val="24"/>
        </w:rPr>
        <w:t>[2017]703</w:t>
      </w:r>
      <w:r w:rsidRPr="000305A7">
        <w:rPr>
          <w:rFonts w:ascii="Times New Roman" w:eastAsia="宋体" w:hAnsi="Times New Roman" w:hint="eastAsia"/>
          <w:szCs w:val="24"/>
        </w:rPr>
        <w:t>号文</w:t>
      </w:r>
      <w:r w:rsidRPr="001C72AF">
        <w:rPr>
          <w:rFonts w:ascii="Times New Roman" w:eastAsia="宋体" w:hAnsi="Times New Roman" w:hint="eastAsia"/>
          <w:szCs w:val="24"/>
        </w:rPr>
        <w:t>《</w:t>
      </w:r>
      <w:r w:rsidR="00455E50" w:rsidRPr="001C72AF">
        <w:rPr>
          <w:rFonts w:ascii="Times New Roman" w:eastAsia="宋体" w:hAnsi="Times New Roman" w:hint="eastAsia"/>
          <w:szCs w:val="24"/>
        </w:rPr>
        <w:t>关于准予万家瑞尧灵活配置混合型证券投资基金注册的批复</w:t>
      </w:r>
      <w:r w:rsidRPr="001C72AF">
        <w:rPr>
          <w:rFonts w:ascii="Times New Roman" w:eastAsia="宋体" w:hAnsi="Times New Roman" w:hint="eastAsia"/>
          <w:szCs w:val="24"/>
        </w:rPr>
        <w:t>》</w:t>
      </w:r>
      <w:r w:rsidRPr="000305A7">
        <w:rPr>
          <w:rFonts w:ascii="Times New Roman" w:eastAsia="宋体" w:hAnsi="Times New Roman" w:hint="eastAsia"/>
          <w:szCs w:val="24"/>
        </w:rPr>
        <w:t>的批准，由万家基金管理有限公司作为基金管理人于</w:t>
      </w:r>
      <w:r w:rsidRPr="000305A7">
        <w:rPr>
          <w:rFonts w:ascii="Times New Roman" w:eastAsia="宋体" w:hAnsi="Times New Roman" w:hint="eastAsia"/>
          <w:szCs w:val="24"/>
        </w:rPr>
        <w:t>2017</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10</w:t>
      </w:r>
      <w:r w:rsidRPr="000305A7">
        <w:rPr>
          <w:rFonts w:ascii="Times New Roman" w:eastAsia="宋体" w:hAnsi="Times New Roman" w:hint="eastAsia"/>
          <w:szCs w:val="24"/>
        </w:rPr>
        <w:t>日</w:t>
      </w:r>
      <w:r w:rsidR="00455E50" w:rsidRPr="001C72AF">
        <w:rPr>
          <w:rFonts w:ascii="Times New Roman" w:eastAsia="宋体" w:hAnsi="Times New Roman" w:hint="eastAsia"/>
          <w:szCs w:val="24"/>
        </w:rPr>
        <w:t>至</w:t>
      </w:r>
      <w:r w:rsidR="00455E50" w:rsidRPr="001C72AF">
        <w:rPr>
          <w:rFonts w:ascii="Times New Roman" w:eastAsia="宋体" w:hAnsi="Times New Roman" w:hint="eastAsia"/>
          <w:szCs w:val="24"/>
        </w:rPr>
        <w:t>2018</w:t>
      </w:r>
      <w:r w:rsidR="00455E50" w:rsidRPr="001C72AF">
        <w:rPr>
          <w:rFonts w:ascii="Times New Roman" w:eastAsia="宋体" w:hAnsi="Times New Roman" w:hint="eastAsia"/>
          <w:szCs w:val="24"/>
        </w:rPr>
        <w:t>年</w:t>
      </w:r>
      <w:r w:rsidR="00455E50" w:rsidRPr="001C72AF">
        <w:rPr>
          <w:rFonts w:ascii="Times New Roman" w:eastAsia="宋体" w:hAnsi="Times New Roman" w:hint="eastAsia"/>
          <w:szCs w:val="24"/>
        </w:rPr>
        <w:t>1</w:t>
      </w:r>
      <w:r w:rsidR="00455E50" w:rsidRPr="001C72AF">
        <w:rPr>
          <w:rFonts w:ascii="Times New Roman" w:eastAsia="宋体" w:hAnsi="Times New Roman" w:hint="eastAsia"/>
          <w:szCs w:val="24"/>
        </w:rPr>
        <w:t>月</w:t>
      </w:r>
      <w:r w:rsidR="00455E50" w:rsidRPr="001C72AF">
        <w:rPr>
          <w:rFonts w:ascii="Times New Roman" w:eastAsia="宋体" w:hAnsi="Times New Roman" w:hint="eastAsia"/>
          <w:szCs w:val="24"/>
        </w:rPr>
        <w:t>12</w:t>
      </w:r>
      <w:r w:rsidR="00455E50" w:rsidRPr="001C72AF">
        <w:rPr>
          <w:rFonts w:ascii="Times New Roman" w:eastAsia="宋体" w:hAnsi="Times New Roman" w:hint="eastAsia"/>
          <w:szCs w:val="24"/>
        </w:rPr>
        <w:t>日</w:t>
      </w:r>
      <w:r w:rsidRPr="000305A7">
        <w:rPr>
          <w:rFonts w:ascii="Times New Roman" w:eastAsia="宋体" w:hAnsi="Times New Roman" w:hint="eastAsia"/>
          <w:szCs w:val="24"/>
        </w:rPr>
        <w:t>向社会公开募集，募集期结束经立信会计师事务所（特殊普通合伙）验证并</w:t>
      </w:r>
      <w:proofErr w:type="gramStart"/>
      <w:r w:rsidRPr="000305A7">
        <w:rPr>
          <w:rFonts w:ascii="Times New Roman" w:eastAsia="宋体" w:hAnsi="Times New Roman" w:hint="eastAsia"/>
          <w:szCs w:val="24"/>
        </w:rPr>
        <w:t>出具信</w:t>
      </w:r>
      <w:proofErr w:type="gramEnd"/>
      <w:r w:rsidRPr="000305A7">
        <w:rPr>
          <w:rFonts w:ascii="Times New Roman" w:eastAsia="宋体" w:hAnsi="Times New Roman" w:hint="eastAsia"/>
          <w:szCs w:val="24"/>
        </w:rPr>
        <w:t>会师报字</w:t>
      </w:r>
      <w:r w:rsidRPr="000305A7">
        <w:rPr>
          <w:rFonts w:ascii="Times New Roman" w:eastAsia="宋体" w:hAnsi="Times New Roman" w:hint="eastAsia"/>
          <w:szCs w:val="24"/>
        </w:rPr>
        <w:t>[2018]</w:t>
      </w:r>
      <w:r w:rsidRPr="000305A7">
        <w:rPr>
          <w:rFonts w:ascii="Times New Roman" w:eastAsia="宋体" w:hAnsi="Times New Roman" w:hint="eastAsia"/>
          <w:szCs w:val="24"/>
        </w:rPr>
        <w:t>第</w:t>
      </w:r>
      <w:r w:rsidRPr="000305A7">
        <w:rPr>
          <w:rFonts w:ascii="Times New Roman" w:eastAsia="宋体" w:hAnsi="Times New Roman" w:hint="eastAsia"/>
          <w:szCs w:val="24"/>
        </w:rPr>
        <w:t>ZA50030</w:t>
      </w:r>
      <w:r w:rsidRPr="000305A7">
        <w:rPr>
          <w:rFonts w:ascii="Times New Roman" w:eastAsia="宋体" w:hAnsi="Times New Roman" w:hint="eastAsia"/>
          <w:szCs w:val="24"/>
        </w:rPr>
        <w:t>号验资报告后，向中国证监会报送基金备案材料。基金合同于</w:t>
      </w:r>
      <w:r w:rsidRPr="000305A7">
        <w:rPr>
          <w:rFonts w:ascii="Times New Roman" w:eastAsia="宋体" w:hAnsi="Times New Roman" w:hint="eastAsia"/>
          <w:szCs w:val="24"/>
        </w:rPr>
        <w:t>2018</w:t>
      </w:r>
      <w:r w:rsidRPr="000305A7">
        <w:rPr>
          <w:rFonts w:ascii="Times New Roman" w:eastAsia="宋体" w:hAnsi="Times New Roman" w:hint="eastAsia"/>
          <w:szCs w:val="24"/>
        </w:rPr>
        <w:t>年</w:t>
      </w:r>
      <w:r w:rsidRPr="000305A7">
        <w:rPr>
          <w:rFonts w:ascii="Times New Roman" w:eastAsia="宋体" w:hAnsi="Times New Roman" w:hint="eastAsia"/>
          <w:szCs w:val="24"/>
        </w:rPr>
        <w:t>1</w:t>
      </w:r>
      <w:r w:rsidRPr="000305A7">
        <w:rPr>
          <w:rFonts w:ascii="Times New Roman" w:eastAsia="宋体" w:hAnsi="Times New Roman" w:hint="eastAsia"/>
          <w:szCs w:val="24"/>
        </w:rPr>
        <w:t>月</w:t>
      </w:r>
      <w:r w:rsidRPr="000305A7">
        <w:rPr>
          <w:rFonts w:ascii="Times New Roman" w:eastAsia="宋体" w:hAnsi="Times New Roman" w:hint="eastAsia"/>
          <w:szCs w:val="24"/>
        </w:rPr>
        <w:t>19</w:t>
      </w:r>
      <w:r w:rsidRPr="000305A7">
        <w:rPr>
          <w:rFonts w:ascii="Times New Roman" w:eastAsia="宋体" w:hAnsi="Times New Roman" w:hint="eastAsia"/>
          <w:szCs w:val="24"/>
        </w:rPr>
        <w:t>日正式生效。本基金管理人为万家基金管理有限公司，基金托管人为上海银行股份有限公司。</w:t>
      </w:r>
    </w:p>
    <w:p w14:paraId="09AC3391" w14:textId="77777777" w:rsidR="00647F8B" w:rsidRPr="000305A7" w:rsidRDefault="00647F8B"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根据《中华人民共和国证券投资基金法》、《公开募集证券投资基金运作管理办法》、《万家瑞尧灵活配置混合型证券投资基金基金合同》（以下简称“《基金合同》”）的有关规定，本</w:t>
      </w:r>
      <w:proofErr w:type="gramStart"/>
      <w:r w:rsidRPr="000305A7">
        <w:rPr>
          <w:rFonts w:ascii="Times New Roman" w:eastAsia="宋体" w:hAnsi="Times New Roman" w:hint="eastAsia"/>
          <w:szCs w:val="24"/>
        </w:rPr>
        <w:t>基金基金</w:t>
      </w:r>
      <w:proofErr w:type="gramEnd"/>
      <w:r w:rsidRPr="000305A7">
        <w:rPr>
          <w:rFonts w:ascii="Times New Roman" w:eastAsia="宋体" w:hAnsi="Times New Roman" w:hint="eastAsia"/>
          <w:szCs w:val="24"/>
        </w:rPr>
        <w:t>份额持有人大会已于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12</w:t>
      </w:r>
      <w:r w:rsidRPr="000305A7">
        <w:rPr>
          <w:rFonts w:ascii="Times New Roman" w:eastAsia="宋体" w:hAnsi="Times New Roman" w:hint="eastAsia"/>
          <w:szCs w:val="24"/>
        </w:rPr>
        <w:t>日起，至</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18</w:t>
      </w:r>
      <w:r w:rsidRPr="000305A7">
        <w:rPr>
          <w:rFonts w:ascii="Times New Roman" w:eastAsia="宋体" w:hAnsi="Times New Roman" w:hint="eastAsia"/>
          <w:szCs w:val="24"/>
        </w:rPr>
        <w:t>日通过通讯方式召开。本次基金份额持有人大会于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19</w:t>
      </w:r>
      <w:r w:rsidRPr="000305A7">
        <w:rPr>
          <w:rFonts w:ascii="Times New Roman" w:eastAsia="宋体" w:hAnsi="Times New Roman" w:hint="eastAsia"/>
          <w:szCs w:val="24"/>
        </w:rPr>
        <w:t>日表决通过了《关于终止万家瑞尧灵活配置混合型证券投资基金基金合同有关事项的议案》，本次大会决议自该日起生效。</w:t>
      </w:r>
    </w:p>
    <w:p w14:paraId="48881E5A" w14:textId="2E42F1EE" w:rsidR="00EC3346" w:rsidRPr="000305A7" w:rsidRDefault="00647F8B" w:rsidP="002213A3">
      <w:pPr>
        <w:adjustRightInd w:val="0"/>
        <w:snapToGrid w:val="0"/>
        <w:spacing w:line="312" w:lineRule="auto"/>
        <w:ind w:firstLineChars="200" w:firstLine="420"/>
        <w:rPr>
          <w:rFonts w:ascii="Times New Roman" w:eastAsia="宋体" w:hAnsi="Times New Roman"/>
          <w:szCs w:val="21"/>
        </w:rPr>
      </w:pPr>
      <w:r w:rsidRPr="000305A7">
        <w:rPr>
          <w:rFonts w:ascii="Times New Roman" w:eastAsia="宋体" w:hAnsi="Times New Roman" w:hint="eastAsia"/>
          <w:szCs w:val="24"/>
        </w:rPr>
        <w:t>本基金自</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20</w:t>
      </w:r>
      <w:r w:rsidRPr="000305A7">
        <w:rPr>
          <w:rFonts w:ascii="Times New Roman" w:eastAsia="宋体" w:hAnsi="Times New Roman" w:hint="eastAsia"/>
          <w:szCs w:val="24"/>
        </w:rPr>
        <w:t>日（含）起进入清算期，由基金管理人万家基金管理有限公司、基金托管人上海银行股份有限公司、立信会计师事务所（特殊普通合伙）和上海市通力律师事务所于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20</w:t>
      </w:r>
      <w:r w:rsidRPr="000305A7">
        <w:rPr>
          <w:rFonts w:ascii="Times New Roman" w:eastAsia="宋体" w:hAnsi="Times New Roman" w:hint="eastAsia"/>
          <w:szCs w:val="24"/>
        </w:rPr>
        <w:t>日组成基金财产清算小组履行基金财产清算程序，并由立信会计师事务所（特殊普通合伙）对清算报告进行审计，上海市通力律师事务所对清算报告出具法律意见</w:t>
      </w:r>
      <w:r w:rsidR="00560098" w:rsidRPr="000305A7">
        <w:rPr>
          <w:rFonts w:ascii="Times New Roman" w:eastAsia="宋体" w:hAnsi="Times New Roman" w:hint="eastAsia"/>
          <w:szCs w:val="21"/>
        </w:rPr>
        <w:t>。</w:t>
      </w:r>
    </w:p>
    <w:p w14:paraId="18AAC8B4" w14:textId="77777777" w:rsidR="0097219C" w:rsidRPr="000305A7" w:rsidRDefault="0097219C" w:rsidP="002213A3">
      <w:pPr>
        <w:adjustRightInd w:val="0"/>
        <w:snapToGrid w:val="0"/>
        <w:spacing w:line="312" w:lineRule="auto"/>
        <w:ind w:firstLineChars="200" w:firstLine="420"/>
        <w:rPr>
          <w:rFonts w:ascii="Times New Roman" w:eastAsia="宋体" w:hAnsi="Times New Roman"/>
          <w:szCs w:val="21"/>
        </w:rPr>
      </w:pPr>
    </w:p>
    <w:p w14:paraId="29013784" w14:textId="77777777" w:rsidR="00545441" w:rsidRPr="000305A7" w:rsidRDefault="00545441" w:rsidP="00192D9B">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t>二、基金概况</w:t>
      </w:r>
    </w:p>
    <w:p w14:paraId="2EBB8E1C" w14:textId="16DAD8AD" w:rsidR="00545441" w:rsidRPr="000305A7" w:rsidRDefault="00545441"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1</w:t>
      </w:r>
      <w:r w:rsidRPr="000305A7">
        <w:rPr>
          <w:rFonts w:ascii="Times New Roman" w:eastAsia="宋体" w:hAnsi="Times New Roman" w:hint="eastAsia"/>
          <w:szCs w:val="24"/>
        </w:rPr>
        <w:t>、基金名称：</w:t>
      </w:r>
      <w:r w:rsidR="002213A3" w:rsidRPr="000305A7">
        <w:rPr>
          <w:rFonts w:ascii="Times New Roman" w:eastAsia="宋体" w:hAnsi="Times New Roman" w:hint="eastAsia"/>
          <w:szCs w:val="24"/>
        </w:rPr>
        <w:t>万家瑞尧灵活配置混合型证券投资基</w:t>
      </w:r>
      <w:r w:rsidR="004721A1" w:rsidRPr="000305A7">
        <w:rPr>
          <w:rFonts w:ascii="Times New Roman" w:eastAsia="宋体" w:hAnsi="Times New Roman" w:hint="eastAsia"/>
          <w:szCs w:val="24"/>
        </w:rPr>
        <w:t>金</w:t>
      </w:r>
    </w:p>
    <w:p w14:paraId="6C4782C3" w14:textId="6D650AE9" w:rsidR="00545441" w:rsidRPr="000305A7" w:rsidRDefault="00545441"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2</w:t>
      </w:r>
      <w:r w:rsidRPr="000305A7">
        <w:rPr>
          <w:rFonts w:ascii="Times New Roman" w:eastAsia="宋体" w:hAnsi="Times New Roman" w:hint="eastAsia"/>
          <w:szCs w:val="24"/>
        </w:rPr>
        <w:t>、基金运作方式：契约型开放式</w:t>
      </w:r>
    </w:p>
    <w:p w14:paraId="0E7074B2" w14:textId="55A34C7C" w:rsidR="00545441" w:rsidRPr="000305A7" w:rsidRDefault="00545441"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3</w:t>
      </w:r>
      <w:r w:rsidRPr="000305A7">
        <w:rPr>
          <w:rFonts w:ascii="Times New Roman" w:eastAsia="宋体" w:hAnsi="Times New Roman" w:hint="eastAsia"/>
          <w:szCs w:val="24"/>
        </w:rPr>
        <w:t>、</w:t>
      </w:r>
      <w:r w:rsidR="00C30C6B" w:rsidRPr="000305A7">
        <w:rPr>
          <w:rFonts w:ascii="Times New Roman" w:eastAsia="宋体" w:hAnsi="Times New Roman" w:hint="eastAsia"/>
          <w:szCs w:val="24"/>
        </w:rPr>
        <w:t>《</w:t>
      </w:r>
      <w:r w:rsidRPr="000305A7">
        <w:rPr>
          <w:rFonts w:ascii="Times New Roman" w:eastAsia="宋体" w:hAnsi="Times New Roman" w:hint="eastAsia"/>
          <w:szCs w:val="24"/>
        </w:rPr>
        <w:t>基金合同</w:t>
      </w:r>
      <w:r w:rsidR="00C30C6B" w:rsidRPr="000305A7">
        <w:rPr>
          <w:rFonts w:ascii="Times New Roman" w:eastAsia="宋体" w:hAnsi="Times New Roman" w:hint="eastAsia"/>
          <w:szCs w:val="24"/>
        </w:rPr>
        <w:t>》</w:t>
      </w:r>
      <w:r w:rsidRPr="000305A7">
        <w:rPr>
          <w:rFonts w:ascii="Times New Roman" w:eastAsia="宋体" w:hAnsi="Times New Roman" w:hint="eastAsia"/>
          <w:szCs w:val="24"/>
        </w:rPr>
        <w:t>生效日：</w:t>
      </w:r>
      <w:r w:rsidR="00D21B9B" w:rsidRPr="000305A7">
        <w:rPr>
          <w:rFonts w:ascii="Times New Roman" w:eastAsia="宋体" w:hAnsi="Times New Roman" w:hint="eastAsia"/>
          <w:szCs w:val="24"/>
        </w:rPr>
        <w:t>20</w:t>
      </w:r>
      <w:r w:rsidR="006D4FE6" w:rsidRPr="000305A7">
        <w:rPr>
          <w:rFonts w:ascii="Times New Roman" w:eastAsia="宋体" w:hAnsi="Times New Roman"/>
          <w:szCs w:val="24"/>
        </w:rPr>
        <w:t>1</w:t>
      </w:r>
      <w:r w:rsidR="009043B4" w:rsidRPr="000305A7">
        <w:rPr>
          <w:rFonts w:ascii="Times New Roman" w:eastAsia="宋体" w:hAnsi="Times New Roman" w:hint="eastAsia"/>
          <w:szCs w:val="24"/>
        </w:rPr>
        <w:t>8</w:t>
      </w:r>
      <w:r w:rsidR="00D21B9B" w:rsidRPr="000305A7">
        <w:rPr>
          <w:rFonts w:ascii="Times New Roman" w:eastAsia="宋体" w:hAnsi="Times New Roman" w:hint="eastAsia"/>
          <w:szCs w:val="24"/>
        </w:rPr>
        <w:t>年</w:t>
      </w:r>
      <w:r w:rsidR="002213A3" w:rsidRPr="000305A7">
        <w:rPr>
          <w:rFonts w:ascii="Times New Roman" w:eastAsia="宋体" w:hAnsi="Times New Roman"/>
          <w:szCs w:val="24"/>
        </w:rPr>
        <w:t>1</w:t>
      </w:r>
      <w:r w:rsidR="00D21B9B" w:rsidRPr="000305A7">
        <w:rPr>
          <w:rFonts w:ascii="Times New Roman" w:eastAsia="宋体" w:hAnsi="Times New Roman" w:hint="eastAsia"/>
          <w:szCs w:val="24"/>
        </w:rPr>
        <w:t>月</w:t>
      </w:r>
      <w:r w:rsidR="002213A3" w:rsidRPr="000305A7">
        <w:rPr>
          <w:rFonts w:ascii="Times New Roman" w:eastAsia="宋体" w:hAnsi="Times New Roman"/>
          <w:szCs w:val="24"/>
        </w:rPr>
        <w:t>19</w:t>
      </w:r>
      <w:r w:rsidR="00D21B9B" w:rsidRPr="000305A7">
        <w:rPr>
          <w:rFonts w:ascii="Times New Roman" w:eastAsia="宋体" w:hAnsi="Times New Roman" w:hint="eastAsia"/>
          <w:szCs w:val="24"/>
        </w:rPr>
        <w:t>日</w:t>
      </w:r>
    </w:p>
    <w:p w14:paraId="0B397BE7" w14:textId="069E857C" w:rsidR="001F4844"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4</w:t>
      </w:r>
      <w:r w:rsidRPr="000305A7">
        <w:rPr>
          <w:rFonts w:ascii="Times New Roman" w:eastAsia="宋体" w:hAnsi="Times New Roman" w:hint="eastAsia"/>
          <w:szCs w:val="24"/>
        </w:rPr>
        <w:t>、基金管理人：万家基金管理有限公司</w:t>
      </w:r>
    </w:p>
    <w:p w14:paraId="3752F8FA" w14:textId="0A40A56B" w:rsidR="001F4844"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5</w:t>
      </w:r>
      <w:r w:rsidRPr="000305A7">
        <w:rPr>
          <w:rFonts w:ascii="Times New Roman" w:eastAsia="宋体" w:hAnsi="Times New Roman" w:hint="eastAsia"/>
          <w:szCs w:val="24"/>
        </w:rPr>
        <w:t>、基金托管人：</w:t>
      </w:r>
      <w:r w:rsidR="009043B4" w:rsidRPr="000305A7">
        <w:rPr>
          <w:rFonts w:ascii="Times New Roman" w:eastAsia="宋体" w:hAnsi="Times New Roman" w:hint="eastAsia"/>
          <w:szCs w:val="24"/>
        </w:rPr>
        <w:t>上海银行股份有限公司</w:t>
      </w:r>
    </w:p>
    <w:p w14:paraId="0526612C" w14:textId="2F5BF23F" w:rsidR="00545441"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6</w:t>
      </w:r>
      <w:r w:rsidR="00545441" w:rsidRPr="000305A7">
        <w:rPr>
          <w:rFonts w:ascii="Times New Roman" w:eastAsia="宋体" w:hAnsi="Times New Roman" w:hint="eastAsia"/>
          <w:szCs w:val="24"/>
        </w:rPr>
        <w:t>、</w:t>
      </w:r>
      <w:r w:rsidR="00BC169B" w:rsidRPr="000305A7">
        <w:rPr>
          <w:rFonts w:ascii="Times New Roman" w:eastAsia="宋体" w:hAnsi="Times New Roman" w:hint="eastAsia"/>
          <w:szCs w:val="24"/>
        </w:rPr>
        <w:t>20</w:t>
      </w:r>
      <w:r w:rsidR="00D21B9B" w:rsidRPr="000305A7">
        <w:rPr>
          <w:rFonts w:ascii="Times New Roman" w:eastAsia="宋体" w:hAnsi="Times New Roman"/>
          <w:szCs w:val="24"/>
        </w:rPr>
        <w:t>2</w:t>
      </w:r>
      <w:r w:rsidR="009043B4" w:rsidRPr="000305A7">
        <w:rPr>
          <w:rFonts w:ascii="Times New Roman" w:eastAsia="宋体" w:hAnsi="Times New Roman" w:hint="eastAsia"/>
          <w:szCs w:val="24"/>
        </w:rPr>
        <w:t>4</w:t>
      </w:r>
      <w:r w:rsidR="00545441" w:rsidRPr="000305A7">
        <w:rPr>
          <w:rFonts w:ascii="Times New Roman" w:eastAsia="宋体" w:hAnsi="Times New Roman" w:hint="eastAsia"/>
          <w:szCs w:val="24"/>
        </w:rPr>
        <w:t>年</w:t>
      </w:r>
      <w:r w:rsidR="002213A3" w:rsidRPr="000305A7">
        <w:rPr>
          <w:rFonts w:ascii="Times New Roman" w:eastAsia="宋体" w:hAnsi="Times New Roman"/>
          <w:szCs w:val="24"/>
        </w:rPr>
        <w:t>11</w:t>
      </w:r>
      <w:r w:rsidR="00545441" w:rsidRPr="000305A7">
        <w:rPr>
          <w:rFonts w:ascii="Times New Roman" w:eastAsia="宋体" w:hAnsi="Times New Roman" w:hint="eastAsia"/>
          <w:szCs w:val="24"/>
        </w:rPr>
        <w:t>月</w:t>
      </w:r>
      <w:r w:rsidR="002213A3" w:rsidRPr="000305A7">
        <w:rPr>
          <w:rFonts w:ascii="Times New Roman" w:eastAsia="宋体" w:hAnsi="Times New Roman"/>
          <w:szCs w:val="24"/>
        </w:rPr>
        <w:t>19</w:t>
      </w:r>
      <w:r w:rsidR="00545441" w:rsidRPr="000305A7">
        <w:rPr>
          <w:rFonts w:ascii="Times New Roman" w:eastAsia="宋体" w:hAnsi="Times New Roman" w:hint="eastAsia"/>
          <w:szCs w:val="24"/>
        </w:rPr>
        <w:t>日基金份额总额：</w:t>
      </w:r>
      <w:r w:rsidR="00D72A4E" w:rsidRPr="000305A7">
        <w:rPr>
          <w:rFonts w:ascii="Times New Roman" w:eastAsia="宋体" w:hAnsi="Times New Roman"/>
          <w:szCs w:val="24"/>
        </w:rPr>
        <w:t>8,571,600.05</w:t>
      </w:r>
      <w:r w:rsidR="00545441" w:rsidRPr="000305A7">
        <w:rPr>
          <w:rFonts w:ascii="Times New Roman" w:eastAsia="宋体" w:hAnsi="Times New Roman" w:hint="eastAsia"/>
          <w:szCs w:val="24"/>
        </w:rPr>
        <w:t>份</w:t>
      </w:r>
      <w:r w:rsidR="00AA35E1" w:rsidRPr="000305A7">
        <w:rPr>
          <w:rFonts w:ascii="Times New Roman" w:eastAsia="宋体" w:hAnsi="Times New Roman" w:hint="eastAsia"/>
          <w:szCs w:val="24"/>
        </w:rPr>
        <w:t>（其中</w:t>
      </w:r>
      <w:proofErr w:type="gramStart"/>
      <w:r w:rsidR="002213A3" w:rsidRPr="000305A7">
        <w:rPr>
          <w:rFonts w:ascii="Times New Roman" w:eastAsia="宋体" w:hAnsi="Times New Roman" w:hint="eastAsia"/>
          <w:szCs w:val="24"/>
        </w:rPr>
        <w:t>万家瑞尧灵活</w:t>
      </w:r>
      <w:proofErr w:type="gramEnd"/>
      <w:r w:rsidR="002213A3" w:rsidRPr="000305A7">
        <w:rPr>
          <w:rFonts w:ascii="Times New Roman" w:eastAsia="宋体" w:hAnsi="Times New Roman" w:hint="eastAsia"/>
          <w:szCs w:val="24"/>
        </w:rPr>
        <w:t>配置混合</w:t>
      </w:r>
      <w:r w:rsidR="009043B4" w:rsidRPr="000305A7">
        <w:rPr>
          <w:rFonts w:ascii="Times New Roman" w:eastAsia="宋体" w:hAnsi="Times New Roman" w:hint="eastAsia"/>
          <w:szCs w:val="24"/>
        </w:rPr>
        <w:t>A</w:t>
      </w:r>
      <w:r w:rsidR="00AA35E1" w:rsidRPr="000305A7">
        <w:rPr>
          <w:rFonts w:ascii="Times New Roman" w:eastAsia="宋体" w:hAnsi="Times New Roman" w:hint="eastAsia"/>
          <w:szCs w:val="24"/>
        </w:rPr>
        <w:t>份额：</w:t>
      </w:r>
      <w:r w:rsidR="00D72A4E" w:rsidRPr="000305A7">
        <w:rPr>
          <w:rFonts w:ascii="Times New Roman" w:eastAsia="宋体" w:hAnsi="Times New Roman"/>
          <w:szCs w:val="24"/>
        </w:rPr>
        <w:t>7,868,040.16</w:t>
      </w:r>
      <w:r w:rsidR="007173F7" w:rsidRPr="000305A7">
        <w:rPr>
          <w:rFonts w:ascii="Times New Roman" w:eastAsia="宋体" w:hAnsi="Times New Roman" w:hint="eastAsia"/>
          <w:szCs w:val="24"/>
        </w:rPr>
        <w:t>份，</w:t>
      </w:r>
      <w:proofErr w:type="gramStart"/>
      <w:r w:rsidR="002213A3" w:rsidRPr="000305A7">
        <w:rPr>
          <w:rFonts w:ascii="Times New Roman" w:eastAsia="宋体" w:hAnsi="Times New Roman"/>
          <w:szCs w:val="24"/>
        </w:rPr>
        <w:t>万家瑞尧灵活</w:t>
      </w:r>
      <w:proofErr w:type="gramEnd"/>
      <w:r w:rsidR="002213A3" w:rsidRPr="000305A7">
        <w:rPr>
          <w:rFonts w:ascii="Times New Roman" w:eastAsia="宋体" w:hAnsi="Times New Roman"/>
          <w:szCs w:val="24"/>
        </w:rPr>
        <w:t>配置混合</w:t>
      </w:r>
      <w:r w:rsidR="009043B4" w:rsidRPr="000305A7">
        <w:rPr>
          <w:rFonts w:ascii="Times New Roman" w:eastAsia="宋体" w:hAnsi="Times New Roman" w:hint="eastAsia"/>
          <w:szCs w:val="24"/>
        </w:rPr>
        <w:t>C</w:t>
      </w:r>
      <w:r w:rsidR="00AA35E1" w:rsidRPr="000305A7">
        <w:rPr>
          <w:rFonts w:ascii="Times New Roman" w:eastAsia="宋体" w:hAnsi="Times New Roman" w:hint="eastAsia"/>
          <w:szCs w:val="24"/>
        </w:rPr>
        <w:t>份额：</w:t>
      </w:r>
      <w:r w:rsidR="00D72A4E" w:rsidRPr="000305A7">
        <w:rPr>
          <w:rFonts w:ascii="Times New Roman" w:eastAsia="宋体" w:hAnsi="Times New Roman"/>
          <w:szCs w:val="24"/>
        </w:rPr>
        <w:t>703,559.89</w:t>
      </w:r>
      <w:r w:rsidR="00AA35E1" w:rsidRPr="000305A7">
        <w:rPr>
          <w:rFonts w:ascii="Times New Roman" w:eastAsia="宋体" w:hAnsi="Times New Roman" w:hint="eastAsia"/>
          <w:szCs w:val="24"/>
        </w:rPr>
        <w:t>份）</w:t>
      </w:r>
    </w:p>
    <w:p w14:paraId="2C6A7A00" w14:textId="6FAB0D39" w:rsidR="00BD3D7A"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7</w:t>
      </w:r>
      <w:r w:rsidR="00BC169B" w:rsidRPr="000305A7">
        <w:rPr>
          <w:rFonts w:ascii="Times New Roman" w:eastAsia="宋体" w:hAnsi="Times New Roman" w:hint="eastAsia"/>
          <w:szCs w:val="24"/>
        </w:rPr>
        <w:t>、投资目标</w:t>
      </w:r>
      <w:r w:rsidR="00D72A4E" w:rsidRPr="000305A7">
        <w:rPr>
          <w:rFonts w:ascii="Times New Roman" w:eastAsia="宋体" w:hAnsi="Times New Roman" w:hint="eastAsia"/>
          <w:szCs w:val="24"/>
        </w:rPr>
        <w:t>：</w:t>
      </w:r>
      <w:r w:rsidR="002213A3" w:rsidRPr="000305A7">
        <w:rPr>
          <w:rFonts w:ascii="Times New Roman" w:eastAsia="宋体" w:hAnsi="Times New Roman" w:hint="eastAsia"/>
          <w:szCs w:val="24"/>
        </w:rPr>
        <w:t>本基金通过灵活运用股票资产投资策略、债券资产投资策略等多种投资策略，充分挖掘潜在的投资机会，追求基金资产长期稳定增值</w:t>
      </w:r>
      <w:r w:rsidR="009043B4" w:rsidRPr="000305A7">
        <w:rPr>
          <w:rFonts w:ascii="Times New Roman" w:eastAsia="宋体" w:hAnsi="Times New Roman" w:hint="eastAsia"/>
          <w:szCs w:val="24"/>
        </w:rPr>
        <w:t>。</w:t>
      </w:r>
    </w:p>
    <w:p w14:paraId="0BD72181" w14:textId="60DFBFA9" w:rsidR="00EC3346"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8</w:t>
      </w:r>
      <w:r w:rsidR="00BD3D7A" w:rsidRPr="000305A7">
        <w:rPr>
          <w:rFonts w:ascii="Times New Roman" w:eastAsia="宋体" w:hAnsi="Times New Roman" w:hint="eastAsia"/>
          <w:szCs w:val="24"/>
        </w:rPr>
        <w:t>、投资策略：</w:t>
      </w:r>
      <w:r w:rsidR="009043B4" w:rsidRPr="000305A7">
        <w:rPr>
          <w:rFonts w:ascii="Times New Roman" w:eastAsia="宋体" w:hAnsi="Times New Roman" w:hint="eastAsia"/>
          <w:szCs w:val="24"/>
        </w:rPr>
        <w:t>（</w:t>
      </w:r>
      <w:r w:rsidR="009043B4" w:rsidRPr="000305A7">
        <w:rPr>
          <w:rFonts w:ascii="Times New Roman" w:eastAsia="宋体" w:hAnsi="Times New Roman" w:hint="eastAsia"/>
          <w:szCs w:val="24"/>
        </w:rPr>
        <w:t>1</w:t>
      </w:r>
      <w:r w:rsidR="009043B4" w:rsidRPr="000305A7">
        <w:rPr>
          <w:rFonts w:ascii="Times New Roman" w:eastAsia="宋体" w:hAnsi="Times New Roman" w:hint="eastAsia"/>
          <w:szCs w:val="24"/>
        </w:rPr>
        <w:t>）股票资产投资策略；（</w:t>
      </w:r>
      <w:r w:rsidR="009043B4" w:rsidRPr="000305A7">
        <w:rPr>
          <w:rFonts w:ascii="Times New Roman" w:eastAsia="宋体" w:hAnsi="Times New Roman" w:hint="eastAsia"/>
          <w:szCs w:val="24"/>
        </w:rPr>
        <w:t>2</w:t>
      </w:r>
      <w:r w:rsidR="009043B4" w:rsidRPr="000305A7">
        <w:rPr>
          <w:rFonts w:ascii="Times New Roman" w:eastAsia="宋体" w:hAnsi="Times New Roman" w:hint="eastAsia"/>
          <w:szCs w:val="24"/>
        </w:rPr>
        <w:t>）债券资产投资策略；（</w:t>
      </w:r>
      <w:r w:rsidR="009043B4" w:rsidRPr="000305A7">
        <w:rPr>
          <w:rFonts w:ascii="Times New Roman" w:eastAsia="宋体" w:hAnsi="Times New Roman" w:hint="eastAsia"/>
          <w:szCs w:val="24"/>
        </w:rPr>
        <w:t>3</w:t>
      </w:r>
      <w:r w:rsidR="009043B4" w:rsidRPr="000305A7">
        <w:rPr>
          <w:rFonts w:ascii="Times New Roman" w:eastAsia="宋体" w:hAnsi="Times New Roman" w:hint="eastAsia"/>
          <w:szCs w:val="24"/>
        </w:rPr>
        <w:t>）中小企业私募债券投资策略；（</w:t>
      </w:r>
      <w:r w:rsidR="009043B4" w:rsidRPr="000305A7">
        <w:rPr>
          <w:rFonts w:ascii="Times New Roman" w:eastAsia="宋体" w:hAnsi="Times New Roman" w:hint="eastAsia"/>
          <w:szCs w:val="24"/>
        </w:rPr>
        <w:t>4</w:t>
      </w:r>
      <w:r w:rsidR="009043B4" w:rsidRPr="000305A7">
        <w:rPr>
          <w:rFonts w:ascii="Times New Roman" w:eastAsia="宋体" w:hAnsi="Times New Roman" w:hint="eastAsia"/>
          <w:szCs w:val="24"/>
        </w:rPr>
        <w:t>）股指期货投资策略；（</w:t>
      </w:r>
      <w:r w:rsidR="009043B4" w:rsidRPr="000305A7">
        <w:rPr>
          <w:rFonts w:ascii="Times New Roman" w:eastAsia="宋体" w:hAnsi="Times New Roman" w:hint="eastAsia"/>
          <w:szCs w:val="24"/>
        </w:rPr>
        <w:t>5</w:t>
      </w:r>
      <w:r w:rsidR="009043B4" w:rsidRPr="000305A7">
        <w:rPr>
          <w:rFonts w:ascii="Times New Roman" w:eastAsia="宋体" w:hAnsi="Times New Roman" w:hint="eastAsia"/>
          <w:szCs w:val="24"/>
        </w:rPr>
        <w:t>）国债期货投资策略；（</w:t>
      </w:r>
      <w:r w:rsidR="009043B4" w:rsidRPr="000305A7">
        <w:rPr>
          <w:rFonts w:ascii="Times New Roman" w:eastAsia="宋体" w:hAnsi="Times New Roman" w:hint="eastAsia"/>
          <w:szCs w:val="24"/>
        </w:rPr>
        <w:t>6</w:t>
      </w:r>
      <w:r w:rsidR="009043B4" w:rsidRPr="000305A7">
        <w:rPr>
          <w:rFonts w:ascii="Times New Roman" w:eastAsia="宋体" w:hAnsi="Times New Roman" w:hint="eastAsia"/>
          <w:szCs w:val="24"/>
        </w:rPr>
        <w:t>）</w:t>
      </w:r>
      <w:r w:rsidR="002213A3" w:rsidRPr="000305A7">
        <w:rPr>
          <w:rFonts w:ascii="Times New Roman" w:eastAsia="宋体" w:hAnsi="Times New Roman" w:hint="eastAsia"/>
          <w:szCs w:val="24"/>
        </w:rPr>
        <w:t>股票期权投资策略；</w:t>
      </w:r>
      <w:r w:rsidR="009043B4" w:rsidRPr="000305A7">
        <w:rPr>
          <w:rFonts w:ascii="Times New Roman" w:eastAsia="宋体" w:hAnsi="Times New Roman" w:hint="eastAsia"/>
          <w:szCs w:val="24"/>
        </w:rPr>
        <w:t>（</w:t>
      </w:r>
      <w:r w:rsidR="009043B4" w:rsidRPr="000305A7">
        <w:rPr>
          <w:rFonts w:ascii="Times New Roman" w:eastAsia="宋体" w:hAnsi="Times New Roman" w:hint="eastAsia"/>
          <w:szCs w:val="24"/>
        </w:rPr>
        <w:t>7</w:t>
      </w:r>
      <w:r w:rsidR="009043B4" w:rsidRPr="000305A7">
        <w:rPr>
          <w:rFonts w:ascii="Times New Roman" w:eastAsia="宋体" w:hAnsi="Times New Roman" w:hint="eastAsia"/>
          <w:szCs w:val="24"/>
        </w:rPr>
        <w:t>）权证投资策略；（</w:t>
      </w:r>
      <w:r w:rsidR="009043B4" w:rsidRPr="000305A7">
        <w:rPr>
          <w:rFonts w:ascii="Times New Roman" w:eastAsia="宋体" w:hAnsi="Times New Roman" w:hint="eastAsia"/>
          <w:szCs w:val="24"/>
        </w:rPr>
        <w:t>8</w:t>
      </w:r>
      <w:r w:rsidR="009043B4" w:rsidRPr="000305A7">
        <w:rPr>
          <w:rFonts w:ascii="Times New Roman" w:eastAsia="宋体" w:hAnsi="Times New Roman" w:hint="eastAsia"/>
          <w:szCs w:val="24"/>
        </w:rPr>
        <w:t>）融资交易策略；（</w:t>
      </w:r>
      <w:r w:rsidR="009043B4" w:rsidRPr="000305A7">
        <w:rPr>
          <w:rFonts w:ascii="Times New Roman" w:eastAsia="宋体" w:hAnsi="Times New Roman" w:hint="eastAsia"/>
          <w:szCs w:val="24"/>
        </w:rPr>
        <w:t>9</w:t>
      </w:r>
      <w:r w:rsidR="009043B4" w:rsidRPr="000305A7">
        <w:rPr>
          <w:rFonts w:ascii="Times New Roman" w:eastAsia="宋体" w:hAnsi="Times New Roman" w:hint="eastAsia"/>
          <w:szCs w:val="24"/>
        </w:rPr>
        <w:t>）资产支持证券投资策略。</w:t>
      </w:r>
    </w:p>
    <w:p w14:paraId="572CFAA0" w14:textId="14F952C0" w:rsidR="00005D60"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9</w:t>
      </w:r>
      <w:r w:rsidR="00BD3D7A" w:rsidRPr="000305A7">
        <w:rPr>
          <w:rFonts w:ascii="Times New Roman" w:eastAsia="宋体" w:hAnsi="Times New Roman" w:hint="eastAsia"/>
          <w:szCs w:val="24"/>
        </w:rPr>
        <w:t>、业绩比较基准：</w:t>
      </w:r>
      <w:r w:rsidR="009043B4" w:rsidRPr="000305A7">
        <w:rPr>
          <w:rFonts w:ascii="Times New Roman" w:eastAsia="宋体" w:hAnsi="Times New Roman" w:hint="eastAsia"/>
          <w:szCs w:val="24"/>
        </w:rPr>
        <w:t>沪深</w:t>
      </w:r>
      <w:r w:rsidR="009043B4" w:rsidRPr="000305A7">
        <w:rPr>
          <w:rFonts w:ascii="Times New Roman" w:eastAsia="宋体" w:hAnsi="Times New Roman" w:hint="eastAsia"/>
          <w:szCs w:val="24"/>
        </w:rPr>
        <w:t>300</w:t>
      </w:r>
      <w:r w:rsidR="009043B4" w:rsidRPr="000305A7">
        <w:rPr>
          <w:rFonts w:ascii="Times New Roman" w:eastAsia="宋体" w:hAnsi="Times New Roman" w:hint="eastAsia"/>
          <w:szCs w:val="24"/>
        </w:rPr>
        <w:t>指数收益率</w:t>
      </w:r>
      <w:r w:rsidR="009043B4" w:rsidRPr="000305A7">
        <w:rPr>
          <w:rFonts w:ascii="Times New Roman" w:eastAsia="宋体" w:hAnsi="Times New Roman" w:hint="eastAsia"/>
          <w:szCs w:val="24"/>
        </w:rPr>
        <w:t>*50%</w:t>
      </w:r>
      <w:r w:rsidR="009043B4" w:rsidRPr="000305A7">
        <w:rPr>
          <w:rFonts w:ascii="Times New Roman" w:eastAsia="宋体" w:hAnsi="Times New Roman" w:hint="eastAsia"/>
          <w:szCs w:val="24"/>
        </w:rPr>
        <w:t>＋中证全债指数收益率</w:t>
      </w:r>
      <w:r w:rsidR="009043B4" w:rsidRPr="000305A7">
        <w:rPr>
          <w:rFonts w:ascii="Times New Roman" w:eastAsia="宋体" w:hAnsi="Times New Roman" w:hint="eastAsia"/>
          <w:szCs w:val="24"/>
        </w:rPr>
        <w:t>*50%</w:t>
      </w:r>
    </w:p>
    <w:p w14:paraId="1AB2D2D2" w14:textId="49D30489" w:rsidR="00BD3D7A" w:rsidRPr="000305A7" w:rsidRDefault="001F4844"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10</w:t>
      </w:r>
      <w:r w:rsidR="00BD3D7A" w:rsidRPr="000305A7">
        <w:rPr>
          <w:rFonts w:ascii="Times New Roman" w:eastAsia="宋体" w:hAnsi="Times New Roman" w:hint="eastAsia"/>
          <w:szCs w:val="24"/>
        </w:rPr>
        <w:t>、风险收益特征：</w:t>
      </w:r>
      <w:r w:rsidR="009043B4" w:rsidRPr="000305A7">
        <w:rPr>
          <w:rFonts w:ascii="Times New Roman" w:eastAsia="宋体" w:hAnsi="Times New Roman" w:hint="eastAsia"/>
          <w:szCs w:val="24"/>
        </w:rPr>
        <w:t>本基金是一只混合型基金，其预期风险和预期收益高于货币市场基金和债券型基金，低于股票型基</w:t>
      </w:r>
      <w:r w:rsidR="009D0A4F" w:rsidRPr="000305A7">
        <w:rPr>
          <w:rFonts w:ascii="Times New Roman" w:eastAsia="宋体" w:hAnsi="Times New Roman" w:hint="eastAsia"/>
          <w:szCs w:val="24"/>
        </w:rPr>
        <w:t>金，在证券投资基金中属于预期风险较高、预期收益也较高的基金产品。</w:t>
      </w:r>
    </w:p>
    <w:p w14:paraId="594E8174" w14:textId="32D9BA5C" w:rsidR="00BD3D7A" w:rsidRPr="000305A7" w:rsidRDefault="00BD3D7A" w:rsidP="002213A3">
      <w:pPr>
        <w:adjustRightInd w:val="0"/>
        <w:snapToGrid w:val="0"/>
        <w:spacing w:line="312" w:lineRule="auto"/>
        <w:ind w:firstLineChars="200" w:firstLine="420"/>
        <w:rPr>
          <w:rFonts w:ascii="Times New Roman" w:eastAsia="宋体" w:hAnsi="Times New Roman"/>
          <w:szCs w:val="24"/>
        </w:rPr>
      </w:pPr>
    </w:p>
    <w:p w14:paraId="33C91DB4" w14:textId="77777777" w:rsidR="00EC3346" w:rsidRPr="000305A7" w:rsidRDefault="00BD3D7A" w:rsidP="00192D9B">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t>三、基金运作情况概述</w:t>
      </w:r>
    </w:p>
    <w:p w14:paraId="45853EB5" w14:textId="1AB6A9CE" w:rsidR="00560098" w:rsidRPr="000305A7" w:rsidRDefault="00560098"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lastRenderedPageBreak/>
        <w:t>本基金</w:t>
      </w:r>
      <w:r w:rsidR="00377ADC" w:rsidRPr="000305A7">
        <w:rPr>
          <w:rFonts w:ascii="Times New Roman" w:eastAsia="宋体" w:hAnsi="Times New Roman" w:hint="eastAsia"/>
          <w:szCs w:val="24"/>
        </w:rPr>
        <w:t>系经中国证监会</w:t>
      </w:r>
      <w:r w:rsidR="002213A3" w:rsidRPr="000305A7">
        <w:rPr>
          <w:rFonts w:ascii="Times New Roman" w:eastAsia="宋体" w:hAnsi="Times New Roman" w:hint="eastAsia"/>
          <w:szCs w:val="24"/>
        </w:rPr>
        <w:t>证监许可</w:t>
      </w:r>
      <w:r w:rsidR="002213A3" w:rsidRPr="000305A7">
        <w:rPr>
          <w:rFonts w:ascii="Times New Roman" w:eastAsia="宋体" w:hAnsi="Times New Roman" w:hint="eastAsia"/>
          <w:szCs w:val="24"/>
        </w:rPr>
        <w:t>[2017]703</w:t>
      </w:r>
      <w:r w:rsidR="002213A3" w:rsidRPr="000305A7">
        <w:rPr>
          <w:rFonts w:ascii="Times New Roman" w:eastAsia="宋体" w:hAnsi="Times New Roman" w:hint="eastAsia"/>
          <w:szCs w:val="24"/>
        </w:rPr>
        <w:t>号文</w:t>
      </w:r>
      <w:r w:rsidR="00377ADC" w:rsidRPr="000305A7">
        <w:rPr>
          <w:rFonts w:ascii="Times New Roman" w:eastAsia="宋体" w:hAnsi="Times New Roman" w:hint="eastAsia"/>
          <w:szCs w:val="24"/>
        </w:rPr>
        <w:t>的核准</w:t>
      </w:r>
      <w:r w:rsidR="003F7FB4" w:rsidRPr="000305A7">
        <w:rPr>
          <w:rFonts w:ascii="Times New Roman" w:eastAsia="宋体" w:hAnsi="Times New Roman" w:hint="eastAsia"/>
          <w:szCs w:val="24"/>
        </w:rPr>
        <w:t>，</w:t>
      </w:r>
      <w:r w:rsidR="00C30C6B" w:rsidRPr="000305A7">
        <w:rPr>
          <w:rFonts w:ascii="Times New Roman" w:eastAsia="宋体" w:hAnsi="Times New Roman" w:hint="eastAsia"/>
          <w:szCs w:val="24"/>
        </w:rPr>
        <w:t>《基金合同》</w:t>
      </w:r>
      <w:r w:rsidR="003F7FB4" w:rsidRPr="000305A7">
        <w:rPr>
          <w:rFonts w:ascii="Times New Roman" w:eastAsia="宋体" w:hAnsi="Times New Roman" w:hint="eastAsia"/>
          <w:szCs w:val="24"/>
        </w:rPr>
        <w:t>于</w:t>
      </w:r>
      <w:r w:rsidR="003F7FB4" w:rsidRPr="000305A7">
        <w:rPr>
          <w:rFonts w:ascii="Times New Roman" w:eastAsia="宋体" w:hAnsi="Times New Roman"/>
          <w:szCs w:val="24"/>
        </w:rPr>
        <w:t>201</w:t>
      </w:r>
      <w:r w:rsidR="00377ADC" w:rsidRPr="000305A7">
        <w:rPr>
          <w:rFonts w:ascii="Times New Roman" w:eastAsia="宋体" w:hAnsi="Times New Roman"/>
          <w:szCs w:val="24"/>
        </w:rPr>
        <w:t>8</w:t>
      </w:r>
      <w:r w:rsidR="003F7FB4" w:rsidRPr="000305A7">
        <w:rPr>
          <w:rFonts w:ascii="Times New Roman" w:eastAsia="宋体" w:hAnsi="Times New Roman"/>
          <w:szCs w:val="24"/>
        </w:rPr>
        <w:t>年</w:t>
      </w:r>
      <w:r w:rsidR="002213A3" w:rsidRPr="000305A7">
        <w:rPr>
          <w:rFonts w:ascii="Times New Roman" w:eastAsia="宋体" w:hAnsi="Times New Roman"/>
          <w:szCs w:val="24"/>
        </w:rPr>
        <w:t>1</w:t>
      </w:r>
      <w:r w:rsidR="003F7FB4" w:rsidRPr="000305A7">
        <w:rPr>
          <w:rFonts w:ascii="Times New Roman" w:eastAsia="宋体" w:hAnsi="Times New Roman"/>
          <w:szCs w:val="24"/>
        </w:rPr>
        <w:t>月</w:t>
      </w:r>
      <w:r w:rsidR="002213A3" w:rsidRPr="000305A7">
        <w:rPr>
          <w:rFonts w:ascii="Times New Roman" w:eastAsia="宋体" w:hAnsi="Times New Roman"/>
          <w:szCs w:val="24"/>
        </w:rPr>
        <w:t>19</w:t>
      </w:r>
      <w:r w:rsidR="003F7FB4" w:rsidRPr="000305A7">
        <w:rPr>
          <w:rFonts w:ascii="Times New Roman" w:eastAsia="宋体" w:hAnsi="Times New Roman"/>
          <w:szCs w:val="24"/>
        </w:rPr>
        <w:t>日</w:t>
      </w:r>
      <w:r w:rsidR="00C30C6B" w:rsidRPr="000305A7">
        <w:rPr>
          <w:rFonts w:ascii="Times New Roman" w:eastAsia="宋体" w:hAnsi="Times New Roman" w:hint="eastAsia"/>
          <w:szCs w:val="24"/>
        </w:rPr>
        <w:t>生效</w:t>
      </w:r>
      <w:r w:rsidR="003F7FB4" w:rsidRPr="000305A7">
        <w:rPr>
          <w:rFonts w:ascii="Times New Roman" w:eastAsia="宋体" w:hAnsi="Times New Roman" w:hint="eastAsia"/>
          <w:szCs w:val="24"/>
        </w:rPr>
        <w:t>。</w:t>
      </w:r>
      <w:r w:rsidRPr="000305A7">
        <w:rPr>
          <w:rFonts w:ascii="Times New Roman" w:eastAsia="宋体" w:hAnsi="Times New Roman" w:hint="eastAsia"/>
          <w:szCs w:val="24"/>
        </w:rPr>
        <w:t>自</w:t>
      </w:r>
      <w:r w:rsidR="00BA0DD2" w:rsidRPr="000305A7">
        <w:rPr>
          <w:rFonts w:ascii="Times New Roman" w:eastAsia="宋体" w:hAnsi="Times New Roman"/>
          <w:szCs w:val="24"/>
        </w:rPr>
        <w:t>20</w:t>
      </w:r>
      <w:r w:rsidR="003F7FB4" w:rsidRPr="000305A7">
        <w:rPr>
          <w:rFonts w:ascii="Times New Roman" w:eastAsia="宋体" w:hAnsi="Times New Roman"/>
          <w:szCs w:val="24"/>
        </w:rPr>
        <w:t>1</w:t>
      </w:r>
      <w:r w:rsidR="00377ADC" w:rsidRPr="000305A7">
        <w:rPr>
          <w:rFonts w:ascii="Times New Roman" w:eastAsia="宋体" w:hAnsi="Times New Roman"/>
          <w:szCs w:val="24"/>
        </w:rPr>
        <w:t>8</w:t>
      </w:r>
      <w:r w:rsidR="00BA0DD2" w:rsidRPr="000305A7">
        <w:rPr>
          <w:rFonts w:ascii="Times New Roman" w:eastAsia="宋体" w:hAnsi="Times New Roman"/>
          <w:szCs w:val="24"/>
        </w:rPr>
        <w:t>年</w:t>
      </w:r>
      <w:r w:rsidR="002213A3" w:rsidRPr="000305A7">
        <w:rPr>
          <w:rFonts w:ascii="Times New Roman" w:eastAsia="宋体" w:hAnsi="Times New Roman"/>
          <w:szCs w:val="24"/>
        </w:rPr>
        <w:t>1</w:t>
      </w:r>
      <w:r w:rsidR="00BA0DD2" w:rsidRPr="000305A7">
        <w:rPr>
          <w:rFonts w:ascii="Times New Roman" w:eastAsia="宋体" w:hAnsi="Times New Roman"/>
          <w:szCs w:val="24"/>
        </w:rPr>
        <w:t>月</w:t>
      </w:r>
      <w:r w:rsidR="002213A3" w:rsidRPr="000305A7">
        <w:rPr>
          <w:rFonts w:ascii="Times New Roman" w:eastAsia="宋体" w:hAnsi="Times New Roman"/>
          <w:szCs w:val="24"/>
        </w:rPr>
        <w:t>19</w:t>
      </w:r>
      <w:r w:rsidR="00BA0DD2" w:rsidRPr="000305A7">
        <w:rPr>
          <w:rFonts w:ascii="Times New Roman" w:eastAsia="宋体" w:hAnsi="Times New Roman"/>
          <w:szCs w:val="24"/>
        </w:rPr>
        <w:t>日</w:t>
      </w:r>
      <w:r w:rsidRPr="000305A7">
        <w:rPr>
          <w:rFonts w:ascii="Times New Roman" w:eastAsia="宋体" w:hAnsi="Times New Roman" w:hint="eastAsia"/>
          <w:szCs w:val="24"/>
        </w:rPr>
        <w:t>至</w:t>
      </w:r>
      <w:r w:rsidR="005071C8" w:rsidRPr="000305A7">
        <w:rPr>
          <w:rFonts w:ascii="Times New Roman" w:eastAsia="宋体" w:hAnsi="Times New Roman" w:hint="eastAsia"/>
          <w:szCs w:val="24"/>
        </w:rPr>
        <w:t>20</w:t>
      </w:r>
      <w:r w:rsidR="00BA0DD2" w:rsidRPr="000305A7">
        <w:rPr>
          <w:rFonts w:ascii="Times New Roman" w:eastAsia="宋体" w:hAnsi="Times New Roman"/>
          <w:szCs w:val="24"/>
        </w:rPr>
        <w:t>2</w:t>
      </w:r>
      <w:r w:rsidR="00377ADC" w:rsidRPr="000305A7">
        <w:rPr>
          <w:rFonts w:ascii="Times New Roman" w:eastAsia="宋体" w:hAnsi="Times New Roman"/>
          <w:szCs w:val="24"/>
        </w:rPr>
        <w:t>4</w:t>
      </w:r>
      <w:r w:rsidRPr="000305A7">
        <w:rPr>
          <w:rFonts w:ascii="Times New Roman" w:eastAsia="宋体" w:hAnsi="Times New Roman" w:hint="eastAsia"/>
          <w:szCs w:val="24"/>
        </w:rPr>
        <w:t>年</w:t>
      </w:r>
      <w:r w:rsidR="002213A3" w:rsidRPr="000305A7">
        <w:rPr>
          <w:rFonts w:ascii="Times New Roman" w:eastAsia="宋体" w:hAnsi="Times New Roman"/>
          <w:szCs w:val="24"/>
        </w:rPr>
        <w:t>11</w:t>
      </w:r>
      <w:r w:rsidRPr="000305A7">
        <w:rPr>
          <w:rFonts w:ascii="Times New Roman" w:eastAsia="宋体" w:hAnsi="Times New Roman" w:hint="eastAsia"/>
          <w:szCs w:val="24"/>
        </w:rPr>
        <w:t>月</w:t>
      </w:r>
      <w:r w:rsidR="002213A3" w:rsidRPr="000305A7">
        <w:rPr>
          <w:rFonts w:ascii="Times New Roman" w:eastAsia="宋体" w:hAnsi="Times New Roman"/>
          <w:szCs w:val="24"/>
        </w:rPr>
        <w:t>19</w:t>
      </w:r>
      <w:r w:rsidRPr="000305A7">
        <w:rPr>
          <w:rFonts w:ascii="Times New Roman" w:eastAsia="宋体" w:hAnsi="Times New Roman" w:hint="eastAsia"/>
          <w:szCs w:val="24"/>
        </w:rPr>
        <w:t>日期间，本基金按</w:t>
      </w:r>
      <w:r w:rsidR="00C30C6B" w:rsidRPr="000305A7">
        <w:rPr>
          <w:rFonts w:ascii="Times New Roman" w:eastAsia="宋体" w:hAnsi="Times New Roman" w:hint="eastAsia"/>
          <w:szCs w:val="24"/>
        </w:rPr>
        <w:t>《</w:t>
      </w:r>
      <w:r w:rsidRPr="000305A7">
        <w:rPr>
          <w:rFonts w:ascii="Times New Roman" w:eastAsia="宋体" w:hAnsi="Times New Roman" w:hint="eastAsia"/>
          <w:szCs w:val="24"/>
        </w:rPr>
        <w:t>基金合同</w:t>
      </w:r>
      <w:r w:rsidR="00C30C6B" w:rsidRPr="000305A7">
        <w:rPr>
          <w:rFonts w:ascii="Times New Roman" w:eastAsia="宋体" w:hAnsi="Times New Roman" w:hint="eastAsia"/>
          <w:szCs w:val="24"/>
        </w:rPr>
        <w:t>》</w:t>
      </w:r>
      <w:r w:rsidRPr="000305A7">
        <w:rPr>
          <w:rFonts w:ascii="Times New Roman" w:eastAsia="宋体" w:hAnsi="Times New Roman" w:hint="eastAsia"/>
          <w:szCs w:val="24"/>
        </w:rPr>
        <w:t>正常运作。</w:t>
      </w:r>
    </w:p>
    <w:p w14:paraId="1703B0DE" w14:textId="1A320F5F" w:rsidR="002E413B" w:rsidRPr="000305A7" w:rsidRDefault="002213A3" w:rsidP="002213A3">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根据《中华人民共和国证券投资基金法》、《公开募集证券投资基金运作管理办法》、《基金合同》的有关规定，本</w:t>
      </w:r>
      <w:proofErr w:type="gramStart"/>
      <w:r w:rsidRPr="000305A7">
        <w:rPr>
          <w:rFonts w:ascii="Times New Roman" w:eastAsia="宋体" w:hAnsi="Times New Roman" w:hint="eastAsia"/>
          <w:szCs w:val="24"/>
        </w:rPr>
        <w:t>基金基金</w:t>
      </w:r>
      <w:proofErr w:type="gramEnd"/>
      <w:r w:rsidRPr="000305A7">
        <w:rPr>
          <w:rFonts w:ascii="Times New Roman" w:eastAsia="宋体" w:hAnsi="Times New Roman" w:hint="eastAsia"/>
          <w:szCs w:val="24"/>
        </w:rPr>
        <w:t>份额持有人大会已于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12</w:t>
      </w:r>
      <w:r w:rsidRPr="000305A7">
        <w:rPr>
          <w:rFonts w:ascii="Times New Roman" w:eastAsia="宋体" w:hAnsi="Times New Roman" w:hint="eastAsia"/>
          <w:szCs w:val="24"/>
        </w:rPr>
        <w:t>日起，至</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18</w:t>
      </w:r>
      <w:r w:rsidRPr="000305A7">
        <w:rPr>
          <w:rFonts w:ascii="Times New Roman" w:eastAsia="宋体" w:hAnsi="Times New Roman" w:hint="eastAsia"/>
          <w:szCs w:val="24"/>
        </w:rPr>
        <w:t>日通过通讯方式召开。本次基金份额持有人大会于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19</w:t>
      </w:r>
      <w:r w:rsidRPr="000305A7">
        <w:rPr>
          <w:rFonts w:ascii="Times New Roman" w:eastAsia="宋体" w:hAnsi="Times New Roman" w:hint="eastAsia"/>
          <w:szCs w:val="24"/>
        </w:rPr>
        <w:t>日表决通过了《关于终止万家瑞尧灵活配置混合型证券投资基金基金合同有关事项的议案》，本次大会决议自该日起生效。本基金从</w:t>
      </w:r>
      <w:r w:rsidRPr="000305A7">
        <w:rPr>
          <w:rFonts w:ascii="Times New Roman" w:eastAsia="宋体" w:hAnsi="Times New Roman" w:hint="eastAsia"/>
          <w:szCs w:val="24"/>
        </w:rPr>
        <w:t>2024</w:t>
      </w:r>
      <w:r w:rsidRPr="000305A7">
        <w:rPr>
          <w:rFonts w:ascii="Times New Roman" w:eastAsia="宋体" w:hAnsi="Times New Roman" w:hint="eastAsia"/>
          <w:szCs w:val="24"/>
        </w:rPr>
        <w:t>年</w:t>
      </w:r>
      <w:r w:rsidRPr="000305A7">
        <w:rPr>
          <w:rFonts w:ascii="Times New Roman" w:eastAsia="宋体" w:hAnsi="Times New Roman" w:hint="eastAsia"/>
          <w:szCs w:val="24"/>
        </w:rPr>
        <w:t>11</w:t>
      </w:r>
      <w:r w:rsidRPr="000305A7">
        <w:rPr>
          <w:rFonts w:ascii="Times New Roman" w:eastAsia="宋体" w:hAnsi="Times New Roman" w:hint="eastAsia"/>
          <w:szCs w:val="24"/>
        </w:rPr>
        <w:t>月</w:t>
      </w:r>
      <w:r w:rsidRPr="000305A7">
        <w:rPr>
          <w:rFonts w:ascii="Times New Roman" w:eastAsia="宋体" w:hAnsi="Times New Roman" w:hint="eastAsia"/>
          <w:szCs w:val="24"/>
        </w:rPr>
        <w:t>20</w:t>
      </w:r>
      <w:r w:rsidRPr="000305A7">
        <w:rPr>
          <w:rFonts w:ascii="Times New Roman" w:eastAsia="宋体" w:hAnsi="Times New Roman" w:hint="eastAsia"/>
          <w:szCs w:val="24"/>
        </w:rPr>
        <w:t>日起进入清算期。</w:t>
      </w:r>
    </w:p>
    <w:p w14:paraId="0D847E7E" w14:textId="77777777" w:rsidR="009D0A4F" w:rsidRPr="000305A7" w:rsidRDefault="009D0A4F" w:rsidP="002213A3">
      <w:pPr>
        <w:adjustRightInd w:val="0"/>
        <w:snapToGrid w:val="0"/>
        <w:spacing w:line="312" w:lineRule="auto"/>
        <w:ind w:firstLineChars="200" w:firstLine="420"/>
        <w:rPr>
          <w:rFonts w:ascii="Times New Roman" w:eastAsia="宋体" w:hAnsi="Times New Roman"/>
          <w:szCs w:val="24"/>
        </w:rPr>
      </w:pPr>
    </w:p>
    <w:p w14:paraId="03A4E07C" w14:textId="77777777" w:rsidR="004C6F52" w:rsidRPr="000305A7" w:rsidRDefault="004C6F52" w:rsidP="00192D9B">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t>四、财务会计报告</w:t>
      </w:r>
    </w:p>
    <w:p w14:paraId="6744B27C" w14:textId="77777777" w:rsidR="004C6F52" w:rsidRPr="000305A7" w:rsidRDefault="004C6F52" w:rsidP="009D0A4F">
      <w:pPr>
        <w:adjustRightInd w:val="0"/>
        <w:snapToGrid w:val="0"/>
        <w:spacing w:line="312" w:lineRule="auto"/>
        <w:rPr>
          <w:rFonts w:ascii="Times New Roman" w:eastAsia="宋体" w:hAnsi="Times New Roman"/>
          <w:szCs w:val="24"/>
        </w:rPr>
      </w:pPr>
      <w:r w:rsidRPr="000305A7">
        <w:rPr>
          <w:rFonts w:ascii="Times New Roman" w:eastAsia="宋体" w:hAnsi="Times New Roman" w:hint="eastAsia"/>
          <w:szCs w:val="24"/>
        </w:rPr>
        <w:t>资产负债表（已经审计）</w:t>
      </w:r>
    </w:p>
    <w:p w14:paraId="51803D27" w14:textId="5326650D" w:rsidR="004C6F52" w:rsidRPr="000305A7" w:rsidRDefault="004C6F52" w:rsidP="009D0A4F">
      <w:pPr>
        <w:adjustRightInd w:val="0"/>
        <w:snapToGrid w:val="0"/>
        <w:spacing w:line="312" w:lineRule="auto"/>
        <w:rPr>
          <w:rFonts w:ascii="Times New Roman" w:eastAsia="宋体" w:hAnsi="Times New Roman"/>
          <w:szCs w:val="24"/>
        </w:rPr>
      </w:pPr>
      <w:r w:rsidRPr="000305A7">
        <w:rPr>
          <w:rFonts w:ascii="Times New Roman" w:eastAsia="宋体" w:hAnsi="Times New Roman" w:hint="eastAsia"/>
          <w:szCs w:val="24"/>
        </w:rPr>
        <w:t>会计主体：</w:t>
      </w:r>
      <w:proofErr w:type="gramStart"/>
      <w:r w:rsidR="00254F5E" w:rsidRPr="000305A7">
        <w:rPr>
          <w:rFonts w:ascii="Times New Roman" w:eastAsia="宋体" w:hAnsi="Times New Roman" w:hint="eastAsia"/>
          <w:szCs w:val="24"/>
        </w:rPr>
        <w:t>万家瑞尧灵活</w:t>
      </w:r>
      <w:proofErr w:type="gramEnd"/>
      <w:r w:rsidR="00254F5E" w:rsidRPr="000305A7">
        <w:rPr>
          <w:rFonts w:ascii="Times New Roman" w:eastAsia="宋体" w:hAnsi="Times New Roman" w:hint="eastAsia"/>
          <w:szCs w:val="24"/>
        </w:rPr>
        <w:t>配置混合型证券投资基金</w:t>
      </w:r>
    </w:p>
    <w:p w14:paraId="3FB6CF8B" w14:textId="4E7315CE" w:rsidR="004C6F52" w:rsidRPr="000305A7" w:rsidRDefault="004C6F52" w:rsidP="009D0A4F">
      <w:pPr>
        <w:adjustRightInd w:val="0"/>
        <w:snapToGrid w:val="0"/>
        <w:spacing w:line="312" w:lineRule="auto"/>
        <w:rPr>
          <w:rFonts w:ascii="Times New Roman" w:eastAsia="宋体" w:hAnsi="Times New Roman"/>
          <w:szCs w:val="24"/>
        </w:rPr>
      </w:pPr>
      <w:r w:rsidRPr="000305A7">
        <w:rPr>
          <w:rFonts w:ascii="Times New Roman" w:eastAsia="宋体" w:hAnsi="Times New Roman" w:hint="eastAsia"/>
          <w:szCs w:val="24"/>
        </w:rPr>
        <w:t>报告截止日：</w:t>
      </w:r>
      <w:r w:rsidR="00A33F4F" w:rsidRPr="000305A7">
        <w:rPr>
          <w:rFonts w:ascii="Times New Roman" w:eastAsia="宋体" w:hAnsi="Times New Roman" w:hint="eastAsia"/>
          <w:szCs w:val="24"/>
        </w:rPr>
        <w:t>20</w:t>
      </w:r>
      <w:r w:rsidR="00BA0DD2" w:rsidRPr="000305A7">
        <w:rPr>
          <w:rFonts w:ascii="Times New Roman" w:eastAsia="宋体" w:hAnsi="Times New Roman"/>
          <w:szCs w:val="24"/>
        </w:rPr>
        <w:t>2</w:t>
      </w:r>
      <w:r w:rsidR="001075BB" w:rsidRPr="000305A7">
        <w:rPr>
          <w:rFonts w:ascii="Times New Roman" w:eastAsia="宋体" w:hAnsi="Times New Roman"/>
          <w:szCs w:val="24"/>
        </w:rPr>
        <w:t>4</w:t>
      </w:r>
      <w:r w:rsidRPr="000305A7">
        <w:rPr>
          <w:rFonts w:ascii="Times New Roman" w:eastAsia="宋体" w:hAnsi="Times New Roman" w:hint="eastAsia"/>
          <w:szCs w:val="24"/>
        </w:rPr>
        <w:t>年</w:t>
      </w:r>
      <w:r w:rsidR="00254F5E" w:rsidRPr="000305A7">
        <w:rPr>
          <w:rFonts w:ascii="Times New Roman" w:eastAsia="宋体" w:hAnsi="Times New Roman"/>
          <w:szCs w:val="24"/>
        </w:rPr>
        <w:t>11</w:t>
      </w:r>
      <w:r w:rsidRPr="000305A7">
        <w:rPr>
          <w:rFonts w:ascii="Times New Roman" w:eastAsia="宋体" w:hAnsi="Times New Roman" w:hint="eastAsia"/>
          <w:szCs w:val="24"/>
        </w:rPr>
        <w:t>月</w:t>
      </w:r>
      <w:r w:rsidR="00254F5E" w:rsidRPr="000305A7">
        <w:rPr>
          <w:rFonts w:ascii="Times New Roman" w:eastAsia="宋体" w:hAnsi="Times New Roman"/>
          <w:szCs w:val="24"/>
        </w:rPr>
        <w:t>19</w:t>
      </w:r>
      <w:r w:rsidRPr="000305A7">
        <w:rPr>
          <w:rFonts w:ascii="Times New Roman" w:eastAsia="宋体" w:hAnsi="Times New Roman" w:hint="eastAsia"/>
          <w:szCs w:val="24"/>
        </w:rPr>
        <w:t>日</w:t>
      </w:r>
    </w:p>
    <w:p w14:paraId="6344E12F" w14:textId="77777777" w:rsidR="00CB33DD" w:rsidRPr="000305A7" w:rsidRDefault="00CB33DD" w:rsidP="00B4119A">
      <w:pPr>
        <w:tabs>
          <w:tab w:val="left" w:pos="540"/>
        </w:tabs>
        <w:adjustRightInd w:val="0"/>
        <w:snapToGrid w:val="0"/>
        <w:spacing w:line="312" w:lineRule="auto"/>
        <w:ind w:right="210"/>
        <w:jc w:val="right"/>
        <w:rPr>
          <w:rFonts w:ascii="Times New Roman" w:hAnsi="Times New Roman"/>
          <w:szCs w:val="21"/>
        </w:rPr>
      </w:pPr>
      <w:r w:rsidRPr="000305A7">
        <w:rPr>
          <w:rFonts w:ascii="Times New Roman" w:hAnsi="Times New Roman" w:hint="eastAsia"/>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4803"/>
      </w:tblGrid>
      <w:tr w:rsidR="00CB1B74" w:rsidRPr="000305A7" w14:paraId="3F7CDDD5" w14:textId="77777777" w:rsidTr="00472FDF">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E367A" w14:textId="5418AB1D" w:rsidR="00CB1B74" w:rsidRPr="000305A7" w:rsidRDefault="00CB1B74" w:rsidP="00254F5E">
            <w:pPr>
              <w:pStyle w:val="ab"/>
              <w:spacing w:before="0" w:beforeAutospacing="0" w:after="0" w:afterAutospacing="0"/>
              <w:jc w:val="right"/>
              <w:rPr>
                <w:rFonts w:ascii="Times New Roman" w:hAnsi="Times New Roman"/>
                <w:sz w:val="21"/>
              </w:rPr>
            </w:pPr>
            <w:r w:rsidRPr="000305A7">
              <w:rPr>
                <w:rFonts w:ascii="Times New Roman" w:hAnsi="Times New Roman" w:cstheme="minorBidi" w:hint="eastAsia"/>
                <w:kern w:val="2"/>
                <w:sz w:val="21"/>
                <w:szCs w:val="21"/>
              </w:rPr>
              <w:t>最后运作日：</w:t>
            </w:r>
            <w:r w:rsidRPr="000305A7">
              <w:rPr>
                <w:rFonts w:ascii="Times New Roman" w:hAnsi="Times New Roman" w:cstheme="minorBidi" w:hint="eastAsia"/>
                <w:kern w:val="2"/>
                <w:sz w:val="21"/>
                <w:szCs w:val="21"/>
              </w:rPr>
              <w:t>2</w:t>
            </w:r>
            <w:r w:rsidRPr="000305A7">
              <w:rPr>
                <w:rFonts w:ascii="Times New Roman" w:hAnsi="Times New Roman" w:cstheme="minorBidi"/>
                <w:kern w:val="2"/>
                <w:sz w:val="21"/>
                <w:szCs w:val="21"/>
              </w:rPr>
              <w:t>02</w:t>
            </w:r>
            <w:r w:rsidR="001075BB" w:rsidRPr="000305A7">
              <w:rPr>
                <w:rFonts w:ascii="Times New Roman" w:hAnsi="Times New Roman" w:cstheme="minorBidi"/>
                <w:kern w:val="2"/>
                <w:sz w:val="21"/>
                <w:szCs w:val="21"/>
              </w:rPr>
              <w:t>4</w:t>
            </w:r>
            <w:r w:rsidRPr="000305A7">
              <w:rPr>
                <w:rFonts w:ascii="Times New Roman" w:hAnsi="Times New Roman" w:cstheme="minorBidi" w:hint="eastAsia"/>
                <w:kern w:val="2"/>
                <w:sz w:val="21"/>
                <w:szCs w:val="21"/>
              </w:rPr>
              <w:t>年</w:t>
            </w:r>
            <w:r w:rsidR="00254F5E" w:rsidRPr="000305A7">
              <w:rPr>
                <w:rFonts w:ascii="Times New Roman" w:hAnsi="Times New Roman" w:cstheme="minorBidi"/>
                <w:kern w:val="2"/>
                <w:sz w:val="21"/>
                <w:szCs w:val="21"/>
              </w:rPr>
              <w:t>11</w:t>
            </w:r>
            <w:r w:rsidRPr="000305A7">
              <w:rPr>
                <w:rFonts w:ascii="Times New Roman" w:hAnsi="Times New Roman" w:cstheme="minorBidi" w:hint="eastAsia"/>
                <w:kern w:val="2"/>
                <w:sz w:val="21"/>
                <w:szCs w:val="21"/>
              </w:rPr>
              <w:t>月</w:t>
            </w:r>
            <w:r w:rsidR="00254F5E" w:rsidRPr="000305A7">
              <w:rPr>
                <w:rFonts w:ascii="Times New Roman" w:hAnsi="Times New Roman" w:cstheme="minorBidi"/>
                <w:kern w:val="2"/>
                <w:sz w:val="21"/>
                <w:szCs w:val="21"/>
              </w:rPr>
              <w:t>19</w:t>
            </w:r>
            <w:r w:rsidRPr="000305A7">
              <w:rPr>
                <w:rFonts w:ascii="Times New Roman" w:hAnsi="Times New Roman" w:cstheme="minorBidi" w:hint="eastAsia"/>
                <w:kern w:val="2"/>
                <w:sz w:val="21"/>
                <w:szCs w:val="21"/>
              </w:rPr>
              <w:t>日</w:t>
            </w:r>
          </w:p>
        </w:tc>
      </w:tr>
      <w:tr w:rsidR="009B418C" w:rsidRPr="000305A7" w14:paraId="5FDA7E9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7036E" w14:textId="16AE472A" w:rsidR="009B418C" w:rsidRPr="000305A7" w:rsidRDefault="009B418C" w:rsidP="009B418C">
            <w:pPr>
              <w:pStyle w:val="ab"/>
              <w:rPr>
                <w:rFonts w:ascii="Times New Roman" w:hAnsi="Times New Roman"/>
                <w:b/>
                <w:kern w:val="2"/>
                <w:sz w:val="21"/>
                <w:lang w:eastAsia="zh-Hans"/>
              </w:rPr>
            </w:pPr>
            <w:r w:rsidRPr="000305A7">
              <w:rPr>
                <w:rFonts w:ascii="Times New Roman" w:hAnsi="Times New Roman" w:hint="eastAsia"/>
                <w:b/>
                <w:kern w:val="2"/>
                <w:sz w:val="21"/>
              </w:rPr>
              <w:t>资</w:t>
            </w:r>
            <w:r w:rsidRPr="000305A7">
              <w:rPr>
                <w:rFonts w:ascii="Times New Roman" w:hAnsi="Times New Roman" w:hint="eastAsia"/>
                <w:b/>
                <w:kern w:val="2"/>
                <w:sz w:val="21"/>
              </w:rPr>
              <w:t xml:space="preserve"> </w:t>
            </w:r>
            <w:r w:rsidRPr="000305A7">
              <w:rPr>
                <w:rFonts w:ascii="Times New Roman" w:hAnsi="Times New Roman" w:hint="eastAsia"/>
                <w:b/>
                <w:kern w:val="2"/>
                <w:sz w:val="21"/>
              </w:rPr>
              <w:t>产：</w:t>
            </w:r>
            <w:r w:rsidRPr="000305A7">
              <w:rPr>
                <w:rFonts w:ascii="Times New Roman" w:hAnsi="Times New Roman" w:hint="eastAsia"/>
                <w:b/>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092B5EA4" w14:textId="77777777" w:rsidR="009B418C" w:rsidRPr="000305A7" w:rsidRDefault="009B418C" w:rsidP="009B418C">
            <w:pPr>
              <w:rPr>
                <w:rFonts w:ascii="Times New Roman" w:eastAsia="宋体" w:hAnsi="Times New Roman"/>
                <w:lang w:eastAsia="zh-Hans"/>
              </w:rPr>
            </w:pPr>
          </w:p>
        </w:tc>
      </w:tr>
      <w:tr w:rsidR="009B418C" w:rsidRPr="000305A7" w14:paraId="68EF9C52" w14:textId="77777777" w:rsidTr="004939F4">
        <w:trPr>
          <w:trHeight w:val="351"/>
        </w:trPr>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7257E" w14:textId="385F7C4D"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货币资金</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4AA64D48" w14:textId="567DB8E6" w:rsidR="009B418C" w:rsidRPr="000305A7" w:rsidRDefault="009B418C" w:rsidP="009B418C">
            <w:pPr>
              <w:jc w:val="right"/>
              <w:rPr>
                <w:rFonts w:ascii="Times New Roman" w:eastAsia="宋体" w:hAnsi="Times New Roman"/>
              </w:rPr>
            </w:pPr>
            <w:r w:rsidRPr="000305A7">
              <w:rPr>
                <w:rFonts w:ascii="Times New Roman" w:eastAsia="宋体" w:hAnsi="Times New Roman"/>
              </w:rPr>
              <w:t>8,432,735.06</w:t>
            </w:r>
          </w:p>
        </w:tc>
      </w:tr>
      <w:tr w:rsidR="009B418C" w:rsidRPr="000305A7" w14:paraId="5200B2C1"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CD579" w14:textId="03F0ED15"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结算备付金</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DA65B12" w14:textId="12ECB5D7" w:rsidR="009B418C" w:rsidRPr="000305A7" w:rsidRDefault="009B418C" w:rsidP="009B418C">
            <w:pPr>
              <w:jc w:val="right"/>
              <w:rPr>
                <w:rFonts w:ascii="Times New Roman" w:eastAsia="宋体" w:hAnsi="Times New Roman"/>
              </w:rPr>
            </w:pPr>
            <w:r w:rsidRPr="000305A7">
              <w:rPr>
                <w:rFonts w:ascii="Times New Roman" w:eastAsia="宋体" w:hAnsi="Times New Roman"/>
              </w:rPr>
              <w:t>0.24</w:t>
            </w:r>
          </w:p>
        </w:tc>
      </w:tr>
      <w:tr w:rsidR="009B418C" w:rsidRPr="000305A7" w14:paraId="0B88CBD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6818F" w14:textId="4D50479F"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存出保证金</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633536EB" w14:textId="5991E962" w:rsidR="009B418C" w:rsidRPr="000305A7" w:rsidRDefault="009B418C" w:rsidP="009B418C">
            <w:pPr>
              <w:jc w:val="right"/>
              <w:rPr>
                <w:rFonts w:ascii="Times New Roman" w:eastAsia="宋体" w:hAnsi="Times New Roman"/>
              </w:rPr>
            </w:pPr>
            <w:r w:rsidRPr="000305A7">
              <w:rPr>
                <w:rFonts w:ascii="Times New Roman" w:eastAsia="宋体" w:hAnsi="Times New Roman"/>
              </w:rPr>
              <w:t>2,433.67</w:t>
            </w:r>
          </w:p>
        </w:tc>
      </w:tr>
      <w:tr w:rsidR="009B418C" w:rsidRPr="000305A7" w14:paraId="361C851D"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08AE4" w14:textId="726D6427"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交易性金融资产</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21DCFE82" w14:textId="73A6EB16"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128CBF8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B72BD" w14:textId="3857203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其中：股票投资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40DDA842" w14:textId="57F5CC64"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6FB10FA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C3F76" w14:textId="50C121F0" w:rsidR="009B418C" w:rsidRPr="000305A7" w:rsidRDefault="009B418C" w:rsidP="009B418C">
            <w:pPr>
              <w:pStyle w:val="ab"/>
              <w:ind w:firstLineChars="300" w:firstLine="630"/>
              <w:rPr>
                <w:rFonts w:ascii="Times New Roman" w:hAnsi="Times New Roman"/>
                <w:kern w:val="2"/>
                <w:sz w:val="21"/>
                <w:lang w:eastAsia="zh-Hans"/>
              </w:rPr>
            </w:pPr>
            <w:r w:rsidRPr="000305A7">
              <w:rPr>
                <w:rFonts w:ascii="Times New Roman" w:hAnsi="Times New Roman" w:hint="eastAsia"/>
                <w:kern w:val="2"/>
                <w:sz w:val="21"/>
              </w:rPr>
              <w:t>基金投资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13B6C28" w14:textId="59259950"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4B14FCA0"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23A54" w14:textId="0E27E3EA" w:rsidR="009B418C" w:rsidRPr="000305A7" w:rsidRDefault="009B418C" w:rsidP="009B418C">
            <w:pPr>
              <w:pStyle w:val="ab"/>
              <w:ind w:firstLineChars="300" w:firstLine="630"/>
              <w:rPr>
                <w:rFonts w:ascii="Times New Roman" w:hAnsi="Times New Roman"/>
                <w:kern w:val="2"/>
                <w:sz w:val="21"/>
                <w:lang w:eastAsia="zh-Hans"/>
              </w:rPr>
            </w:pPr>
            <w:r w:rsidRPr="000305A7">
              <w:rPr>
                <w:rFonts w:ascii="Times New Roman" w:hAnsi="Times New Roman" w:hint="eastAsia"/>
                <w:kern w:val="2"/>
                <w:sz w:val="21"/>
              </w:rPr>
              <w:t>债券投资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2E749F6E" w14:textId="02933207"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DD8136F"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C72C4" w14:textId="7AFCBCFC" w:rsidR="009B418C" w:rsidRPr="000305A7" w:rsidRDefault="009B418C" w:rsidP="009B418C">
            <w:pPr>
              <w:pStyle w:val="ab"/>
              <w:ind w:firstLineChars="300" w:firstLine="630"/>
              <w:rPr>
                <w:rFonts w:ascii="Times New Roman" w:hAnsi="Times New Roman"/>
                <w:kern w:val="2"/>
                <w:sz w:val="21"/>
                <w:lang w:eastAsia="zh-Hans"/>
              </w:rPr>
            </w:pPr>
            <w:r w:rsidRPr="000305A7">
              <w:rPr>
                <w:rFonts w:ascii="Times New Roman" w:hAnsi="Times New Roman" w:hint="eastAsia"/>
                <w:kern w:val="2"/>
                <w:sz w:val="21"/>
              </w:rPr>
              <w:t>资产支持证券投资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673BD7F1" w14:textId="702FB16C"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205C1A65"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E9630" w14:textId="2412C389" w:rsidR="009B418C" w:rsidRPr="000305A7" w:rsidRDefault="009B418C" w:rsidP="009B418C">
            <w:pPr>
              <w:pStyle w:val="ab"/>
              <w:ind w:firstLineChars="300" w:firstLine="630"/>
              <w:rPr>
                <w:rFonts w:ascii="Times New Roman" w:hAnsi="Times New Roman"/>
                <w:kern w:val="2"/>
                <w:sz w:val="21"/>
                <w:szCs w:val="24"/>
                <w:lang w:eastAsia="zh-Hans"/>
              </w:rPr>
            </w:pPr>
            <w:r w:rsidRPr="000305A7">
              <w:rPr>
                <w:rFonts w:ascii="Times New Roman" w:hAnsi="Times New Roman" w:hint="eastAsia"/>
                <w:kern w:val="2"/>
                <w:sz w:val="21"/>
                <w:szCs w:val="24"/>
              </w:rPr>
              <w:t>贵金属投资</w:t>
            </w:r>
            <w:r w:rsidRPr="000305A7">
              <w:rPr>
                <w:rFonts w:ascii="Times New Roman" w:hAnsi="Times New Roman" w:hint="eastAsia"/>
                <w:kern w:val="2"/>
                <w:sz w:val="21"/>
                <w:szCs w:val="24"/>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E849BDB" w14:textId="13B0121B"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DF4962C"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D5582" w14:textId="4F932A39" w:rsidR="009B418C" w:rsidRPr="000305A7" w:rsidRDefault="009B418C" w:rsidP="009B418C">
            <w:pPr>
              <w:pStyle w:val="ab"/>
              <w:ind w:firstLineChars="300" w:firstLine="630"/>
              <w:rPr>
                <w:rFonts w:ascii="Times New Roman" w:hAnsi="Times New Roman"/>
                <w:kern w:val="2"/>
                <w:sz w:val="21"/>
                <w:szCs w:val="24"/>
                <w:lang w:eastAsia="zh-Hans"/>
              </w:rPr>
            </w:pPr>
            <w:r w:rsidRPr="000305A7">
              <w:rPr>
                <w:rFonts w:ascii="Times New Roman" w:hAnsi="Times New Roman" w:hint="eastAsia"/>
                <w:kern w:val="2"/>
                <w:sz w:val="21"/>
                <w:szCs w:val="24"/>
              </w:rPr>
              <w:t>其他投资</w:t>
            </w:r>
            <w:r w:rsidRPr="000305A7">
              <w:rPr>
                <w:rFonts w:ascii="Times New Roman" w:hAnsi="Times New Roman" w:hint="eastAsia"/>
                <w:kern w:val="2"/>
                <w:sz w:val="21"/>
                <w:szCs w:val="24"/>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65761445" w14:textId="14DFDF73"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AE19DE7"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20089" w14:textId="7340F4A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衍生金融资产</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384B46A3" w14:textId="737FC5FC"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975E638"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373B7" w14:textId="00416A43"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买入返售金融资产</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742B3AA6" w14:textId="67DB9DEF"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657990ED"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DCC2E" w14:textId="075BA771"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债权投资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B5EF8BF" w14:textId="64630F06"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289F20EC"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9B043" w14:textId="228DA8A4"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其中：债券投资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05ABBDDB" w14:textId="0FC90DBA"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1980567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ED792" w14:textId="03299005" w:rsidR="009B418C" w:rsidRPr="000305A7" w:rsidRDefault="009B418C" w:rsidP="009B418C">
            <w:pPr>
              <w:pStyle w:val="ab"/>
              <w:ind w:firstLineChars="300" w:firstLine="630"/>
              <w:rPr>
                <w:rFonts w:ascii="Times New Roman" w:hAnsi="Times New Roman"/>
                <w:kern w:val="2"/>
                <w:sz w:val="21"/>
                <w:lang w:eastAsia="zh-Hans"/>
              </w:rPr>
            </w:pPr>
            <w:r w:rsidRPr="000305A7">
              <w:rPr>
                <w:rFonts w:ascii="Times New Roman" w:hAnsi="Times New Roman" w:hint="eastAsia"/>
                <w:kern w:val="2"/>
                <w:sz w:val="21"/>
              </w:rPr>
              <w:t>资产支持证券投资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6360F413" w14:textId="0A6ED55F"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2DC1C9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10936" w14:textId="61D0162F" w:rsidR="009B418C" w:rsidRPr="000305A7" w:rsidRDefault="009B418C" w:rsidP="009B418C">
            <w:pPr>
              <w:pStyle w:val="ab"/>
              <w:ind w:firstLineChars="300" w:firstLine="630"/>
              <w:rPr>
                <w:rFonts w:ascii="Times New Roman" w:hAnsi="Times New Roman"/>
                <w:kern w:val="2"/>
                <w:sz w:val="21"/>
                <w:lang w:eastAsia="zh-Hans"/>
              </w:rPr>
            </w:pPr>
            <w:r w:rsidRPr="000305A7">
              <w:rPr>
                <w:rFonts w:ascii="Times New Roman" w:hAnsi="Times New Roman" w:hint="eastAsia"/>
                <w:kern w:val="2"/>
                <w:sz w:val="21"/>
              </w:rPr>
              <w:t>其他投资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04B467D" w14:textId="4075C7EA"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F85306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1437" w14:textId="22A14CE7"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其他债权投资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38B1292B" w14:textId="7C1B8CF7"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FB416B7"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E1C22" w14:textId="21D8178F"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其他权益工具投资</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3AA19FE" w14:textId="4EB1B4E1"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63CD8F09"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84477" w14:textId="2A88514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应收</w:t>
            </w:r>
            <w:proofErr w:type="gramStart"/>
            <w:r w:rsidRPr="000305A7">
              <w:rPr>
                <w:rFonts w:ascii="Times New Roman" w:hAnsi="Times New Roman" w:hint="eastAsia"/>
                <w:kern w:val="2"/>
                <w:sz w:val="21"/>
              </w:rPr>
              <w:t>清算款</w:t>
            </w:r>
            <w:proofErr w:type="gramEnd"/>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5C78F34" w14:textId="3E8CED22"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C47F2BB"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5419B" w14:textId="12A6053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应收股利</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EE2C261" w14:textId="555B2E8B"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08EEB798"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7D490" w14:textId="1DC84824"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应收申购款</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0BE26FFB" w14:textId="19A74280"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048CBD7"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F9AA" w14:textId="0FB2921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递延所得税资产</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0547D87C" w14:textId="47060000"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0676FCD7"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B2D2" w14:textId="077C2D86"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其他资产</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91993" w14:textId="75BCBDAE"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12,910.80</w:t>
            </w:r>
          </w:p>
        </w:tc>
      </w:tr>
      <w:tr w:rsidR="009B418C" w:rsidRPr="000305A7" w14:paraId="66360CA7"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E6ED1" w14:textId="1169B9CB"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资产总计</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E0FEF" w14:textId="1FC8CDB4"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8,448,079.77</w:t>
            </w:r>
          </w:p>
        </w:tc>
      </w:tr>
      <w:tr w:rsidR="009B418C" w:rsidRPr="000305A7" w14:paraId="6FA49CAD"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CEFA0" w14:textId="036F23D5" w:rsidR="009B418C" w:rsidRPr="000305A7" w:rsidRDefault="009B418C" w:rsidP="009B418C">
            <w:pPr>
              <w:pStyle w:val="ab"/>
              <w:rPr>
                <w:rFonts w:ascii="Times New Roman" w:hAnsi="Times New Roman"/>
                <w:b/>
                <w:kern w:val="2"/>
                <w:sz w:val="21"/>
                <w:lang w:eastAsia="zh-Hans"/>
              </w:rPr>
            </w:pPr>
            <w:r w:rsidRPr="000305A7">
              <w:rPr>
                <w:rFonts w:ascii="Times New Roman" w:hAnsi="Times New Roman" w:hint="eastAsia"/>
                <w:b/>
                <w:kern w:val="2"/>
                <w:sz w:val="21"/>
              </w:rPr>
              <w:t>负</w:t>
            </w:r>
            <w:r w:rsidRPr="000305A7">
              <w:rPr>
                <w:rFonts w:ascii="Times New Roman" w:hAnsi="Times New Roman" w:hint="eastAsia"/>
                <w:b/>
                <w:kern w:val="2"/>
                <w:sz w:val="21"/>
              </w:rPr>
              <w:t xml:space="preserve"> </w:t>
            </w:r>
            <w:r w:rsidRPr="000305A7">
              <w:rPr>
                <w:rFonts w:ascii="Times New Roman" w:hAnsi="Times New Roman" w:hint="eastAsia"/>
                <w:b/>
                <w:kern w:val="2"/>
                <w:sz w:val="21"/>
              </w:rPr>
              <w:t>债：</w:t>
            </w:r>
            <w:r w:rsidRPr="000305A7">
              <w:rPr>
                <w:rFonts w:ascii="Times New Roman" w:hAnsi="Times New Roman" w:hint="eastAsia"/>
                <w:b/>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1AADC" w14:textId="77777777" w:rsidR="009B418C" w:rsidRPr="000305A7" w:rsidRDefault="009B418C" w:rsidP="009B418C">
            <w:pPr>
              <w:rPr>
                <w:rFonts w:ascii="Times New Roman" w:eastAsia="宋体" w:hAnsi="Times New Roman"/>
                <w:lang w:eastAsia="zh-Hans"/>
              </w:rPr>
            </w:pPr>
          </w:p>
        </w:tc>
      </w:tr>
      <w:tr w:rsidR="009B418C" w:rsidRPr="000305A7" w14:paraId="0E099E69"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B8220" w14:textId="7674BE47"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短期借款</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BC10B" w14:textId="692F6A47"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089100A"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EECB3" w14:textId="20219436"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lastRenderedPageBreak/>
              <w:t>交易性金融负债</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B5E9A" w14:textId="7A4A0767"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612FC6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91E29" w14:textId="0FAB099E"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衍生金融负债</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6CC28" w14:textId="28C7E636"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2AB9F0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94458" w14:textId="3E58FEAC"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卖出回购金融资产款</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FD0D7" w14:textId="5C2FFC5E"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3BE23D9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077A0" w14:textId="488A0F6C"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w:t>
            </w:r>
            <w:proofErr w:type="gramStart"/>
            <w:r w:rsidRPr="000305A7">
              <w:rPr>
                <w:rFonts w:ascii="Times New Roman" w:hAnsi="Times New Roman" w:hint="eastAsia"/>
                <w:kern w:val="2"/>
                <w:sz w:val="21"/>
              </w:rPr>
              <w:t>清算款</w:t>
            </w:r>
            <w:proofErr w:type="gramEnd"/>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A3C26" w14:textId="58E31A1F"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5353D356"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0D39E" w14:textId="65D82C52"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w:t>
            </w:r>
            <w:proofErr w:type="gramStart"/>
            <w:r w:rsidRPr="000305A7">
              <w:rPr>
                <w:rFonts w:ascii="Times New Roman" w:hAnsi="Times New Roman" w:hint="eastAsia"/>
                <w:kern w:val="2"/>
                <w:sz w:val="21"/>
              </w:rPr>
              <w:t>赎回款</w:t>
            </w:r>
            <w:proofErr w:type="gramEnd"/>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33C7A" w14:textId="12F6E66C"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54.17</w:t>
            </w:r>
          </w:p>
        </w:tc>
      </w:tr>
      <w:tr w:rsidR="009B418C" w:rsidRPr="000305A7" w14:paraId="23F3C1D0"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F5ADD" w14:textId="025F58DD"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应付管理人报酬</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BB36" w14:textId="31A04465"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3,067.87</w:t>
            </w:r>
          </w:p>
        </w:tc>
      </w:tr>
      <w:tr w:rsidR="009B418C" w:rsidRPr="000305A7" w14:paraId="4A881F11"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F0F12" w14:textId="1CFFEE25"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应付托管费</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207F5" w14:textId="740D7A9A"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438.27</w:t>
            </w:r>
          </w:p>
        </w:tc>
      </w:tr>
      <w:tr w:rsidR="009B418C" w:rsidRPr="000305A7" w14:paraId="416FFF8A"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9994" w14:textId="6A568B57"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应付销售服务费</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CAAC4" w14:textId="689D5DF7"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72.09</w:t>
            </w:r>
          </w:p>
        </w:tc>
      </w:tr>
      <w:tr w:rsidR="009B418C" w:rsidRPr="000305A7" w14:paraId="4D7186FB"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B1EEA" w14:textId="18A0D111"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应付投资顾问费</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3FCD98F3" w14:textId="328F54DC"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7D64CEDB"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43549" w14:textId="740F11CA"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应交税费</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148CECCA" w14:textId="533E8477"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50383A21"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0A0B8" w14:textId="02A4A796"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应付利润</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90281BE" w14:textId="688792CE"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5FA8BEB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AD13E" w14:textId="10B35213"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递延所得税负债</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57D9F56A" w14:textId="6DC76E6F"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001F19FE"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88EAD" w14:textId="56A31411"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其他负债</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65EC9" w14:textId="13D12803"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5,000.00</w:t>
            </w:r>
          </w:p>
        </w:tc>
      </w:tr>
      <w:tr w:rsidR="009B418C" w:rsidRPr="000305A7" w14:paraId="0FD8671B"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4D800" w14:textId="353697E0"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负债合计</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F50B8" w14:textId="19124CDC"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8,632.40</w:t>
            </w:r>
          </w:p>
        </w:tc>
      </w:tr>
      <w:tr w:rsidR="009B418C" w:rsidRPr="000305A7" w14:paraId="093328B3"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83C7D" w14:textId="28B138AB" w:rsidR="009B418C" w:rsidRPr="000305A7" w:rsidRDefault="009B418C" w:rsidP="009B418C">
            <w:pPr>
              <w:pStyle w:val="ab"/>
              <w:rPr>
                <w:rFonts w:ascii="Times New Roman" w:hAnsi="Times New Roman"/>
                <w:b/>
                <w:kern w:val="2"/>
                <w:sz w:val="21"/>
                <w:lang w:eastAsia="zh-Hans"/>
              </w:rPr>
            </w:pPr>
            <w:r w:rsidRPr="000305A7">
              <w:rPr>
                <w:rFonts w:ascii="Times New Roman" w:hAnsi="Times New Roman" w:hint="eastAsia"/>
                <w:b/>
                <w:kern w:val="2"/>
                <w:sz w:val="21"/>
              </w:rPr>
              <w:t>净资产：</w:t>
            </w:r>
            <w:r w:rsidRPr="000305A7">
              <w:rPr>
                <w:rFonts w:ascii="Times New Roman" w:hAnsi="Times New Roman" w:hint="eastAsia"/>
                <w:b/>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584C3" w14:textId="77777777" w:rsidR="009B418C" w:rsidRPr="000305A7" w:rsidRDefault="009B418C" w:rsidP="009B418C">
            <w:pPr>
              <w:rPr>
                <w:rFonts w:ascii="Times New Roman" w:eastAsia="宋体" w:hAnsi="Times New Roman"/>
                <w:szCs w:val="24"/>
                <w:lang w:eastAsia="zh-Hans"/>
              </w:rPr>
            </w:pPr>
          </w:p>
        </w:tc>
      </w:tr>
      <w:tr w:rsidR="009B418C" w:rsidRPr="000305A7" w14:paraId="526AF2F2"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D183F" w14:textId="3AADD4F1"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实收基金</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2D87EBB9" w14:textId="5604AC30"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8,571,600.05</w:t>
            </w:r>
          </w:p>
        </w:tc>
      </w:tr>
      <w:tr w:rsidR="009B418C" w:rsidRPr="000305A7" w14:paraId="36D51858"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7067A" w14:textId="3BCAFEEA"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其他综合收益</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hideMark/>
          </w:tcPr>
          <w:p w14:paraId="7EC06AFB" w14:textId="687E1A6B" w:rsidR="009B418C" w:rsidRPr="000305A7" w:rsidRDefault="009B418C" w:rsidP="009B418C">
            <w:pPr>
              <w:jc w:val="right"/>
              <w:rPr>
                <w:rFonts w:ascii="Times New Roman" w:eastAsia="宋体" w:hAnsi="Times New Roman"/>
              </w:rPr>
            </w:pPr>
            <w:r w:rsidRPr="000305A7">
              <w:rPr>
                <w:rFonts w:ascii="Times New Roman" w:eastAsia="宋体" w:hAnsi="Times New Roman" w:hint="eastAsia"/>
                <w:szCs w:val="24"/>
                <w:lang w:eastAsia="zh-Hans"/>
              </w:rPr>
              <w:t>-</w:t>
            </w:r>
          </w:p>
        </w:tc>
      </w:tr>
      <w:tr w:rsidR="009B418C" w:rsidRPr="000305A7" w14:paraId="23B6275E"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3B6DF" w14:textId="4B74789D"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未分配利润</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B46C1" w14:textId="1F5C4A4F"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-132,152.68</w:t>
            </w:r>
          </w:p>
        </w:tc>
      </w:tr>
      <w:tr w:rsidR="009B418C" w:rsidRPr="000305A7" w14:paraId="795A3D4C"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FF0B" w14:textId="1363200D"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净资产合计</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4FDD3" w14:textId="662B056B"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8,439,447.37</w:t>
            </w:r>
          </w:p>
        </w:tc>
      </w:tr>
      <w:tr w:rsidR="009B418C" w:rsidRPr="000305A7" w14:paraId="5AFD20FF" w14:textId="77777777" w:rsidTr="004939F4">
        <w:tc>
          <w:tcPr>
            <w:tcW w:w="2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E8EEA" w14:textId="761702DA" w:rsidR="009B418C" w:rsidRPr="000305A7" w:rsidRDefault="009B418C" w:rsidP="009B418C">
            <w:pPr>
              <w:pStyle w:val="ab"/>
              <w:rPr>
                <w:rFonts w:ascii="Times New Roman" w:hAnsi="Times New Roman"/>
                <w:kern w:val="2"/>
                <w:sz w:val="21"/>
                <w:lang w:eastAsia="zh-Hans"/>
              </w:rPr>
            </w:pPr>
            <w:r w:rsidRPr="000305A7">
              <w:rPr>
                <w:rFonts w:ascii="Times New Roman" w:hAnsi="Times New Roman" w:hint="eastAsia"/>
                <w:kern w:val="2"/>
                <w:sz w:val="21"/>
              </w:rPr>
              <w:t>负债和净资产总计</w:t>
            </w:r>
            <w:r w:rsidRPr="000305A7">
              <w:rPr>
                <w:rFonts w:ascii="Times New Roman" w:hAnsi="Times New Roman" w:hint="eastAsia"/>
                <w:kern w:val="2"/>
                <w:sz w:val="21"/>
                <w:lang w:eastAsia="zh-Hans"/>
              </w:rPr>
              <w:t xml:space="preserve"> </w:t>
            </w:r>
          </w:p>
        </w:tc>
        <w:tc>
          <w:tcPr>
            <w:tcW w:w="28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D55AF" w14:textId="73639A06" w:rsidR="009B418C" w:rsidRPr="000305A7" w:rsidRDefault="009B418C" w:rsidP="009B418C">
            <w:pPr>
              <w:jc w:val="right"/>
              <w:rPr>
                <w:rFonts w:ascii="Times New Roman" w:eastAsia="宋体" w:hAnsi="Times New Roman"/>
              </w:rPr>
            </w:pPr>
            <w:r w:rsidRPr="000305A7">
              <w:rPr>
                <w:rFonts w:ascii="Times New Roman" w:eastAsia="宋体" w:hAnsi="Times New Roman" w:cs="Arial" w:hint="eastAsia"/>
                <w:color w:val="000000"/>
                <w:szCs w:val="18"/>
              </w:rPr>
              <w:t>8,448,079.77</w:t>
            </w:r>
          </w:p>
        </w:tc>
      </w:tr>
    </w:tbl>
    <w:p w14:paraId="31A3C70B" w14:textId="5107363A" w:rsidR="00317794" w:rsidRPr="000305A7" w:rsidRDefault="00236FA1" w:rsidP="009D0A4F">
      <w:pPr>
        <w:adjustRightInd w:val="0"/>
        <w:snapToGrid w:val="0"/>
        <w:spacing w:line="312" w:lineRule="auto"/>
        <w:rPr>
          <w:rFonts w:ascii="Times New Roman" w:eastAsia="宋体" w:hAnsi="Times New Roman"/>
          <w:szCs w:val="24"/>
        </w:rPr>
      </w:pPr>
      <w:r w:rsidRPr="000305A7">
        <w:rPr>
          <w:rFonts w:ascii="Times New Roman" w:eastAsia="宋体" w:hAnsi="Times New Roman" w:hint="eastAsia"/>
          <w:szCs w:val="24"/>
        </w:rPr>
        <w:t>注：截至</w:t>
      </w:r>
      <w:r w:rsidR="00BC1DF7" w:rsidRPr="000305A7">
        <w:rPr>
          <w:rFonts w:ascii="Times New Roman" w:eastAsia="宋体" w:hAnsi="Times New Roman" w:hint="eastAsia"/>
          <w:szCs w:val="24"/>
        </w:rPr>
        <w:t>20</w:t>
      </w:r>
      <w:r w:rsidR="004858BD" w:rsidRPr="000305A7">
        <w:rPr>
          <w:rFonts w:ascii="Times New Roman" w:eastAsia="宋体" w:hAnsi="Times New Roman"/>
          <w:szCs w:val="24"/>
        </w:rPr>
        <w:t>2</w:t>
      </w:r>
      <w:r w:rsidR="009B0B25" w:rsidRPr="000305A7">
        <w:rPr>
          <w:rFonts w:ascii="Times New Roman" w:eastAsia="宋体" w:hAnsi="Times New Roman"/>
          <w:szCs w:val="24"/>
        </w:rPr>
        <w:t>4</w:t>
      </w:r>
      <w:r w:rsidRPr="000305A7">
        <w:rPr>
          <w:rFonts w:ascii="Times New Roman" w:eastAsia="宋体" w:hAnsi="Times New Roman" w:hint="eastAsia"/>
          <w:szCs w:val="24"/>
        </w:rPr>
        <w:t>年</w:t>
      </w:r>
      <w:r w:rsidR="00254F5E" w:rsidRPr="000305A7">
        <w:rPr>
          <w:rFonts w:ascii="Times New Roman" w:eastAsia="宋体" w:hAnsi="Times New Roman"/>
          <w:szCs w:val="24"/>
        </w:rPr>
        <w:t>11</w:t>
      </w:r>
      <w:r w:rsidRPr="000305A7">
        <w:rPr>
          <w:rFonts w:ascii="Times New Roman" w:eastAsia="宋体" w:hAnsi="Times New Roman" w:hint="eastAsia"/>
          <w:szCs w:val="24"/>
        </w:rPr>
        <w:t>月</w:t>
      </w:r>
      <w:r w:rsidR="00254F5E" w:rsidRPr="000305A7">
        <w:rPr>
          <w:rFonts w:ascii="Times New Roman" w:eastAsia="宋体" w:hAnsi="Times New Roman"/>
          <w:szCs w:val="24"/>
        </w:rPr>
        <w:t>19</w:t>
      </w:r>
      <w:r w:rsidRPr="000305A7">
        <w:rPr>
          <w:rFonts w:ascii="Times New Roman" w:eastAsia="宋体" w:hAnsi="Times New Roman" w:hint="eastAsia"/>
          <w:szCs w:val="24"/>
        </w:rPr>
        <w:t>日（基金最后运作日），</w:t>
      </w:r>
      <w:proofErr w:type="gramStart"/>
      <w:r w:rsidR="00254F5E" w:rsidRPr="000305A7">
        <w:rPr>
          <w:rFonts w:ascii="Times New Roman" w:eastAsia="宋体" w:hAnsi="Times New Roman" w:hint="eastAsia"/>
          <w:szCs w:val="24"/>
        </w:rPr>
        <w:t>万家瑞尧灵活</w:t>
      </w:r>
      <w:proofErr w:type="gramEnd"/>
      <w:r w:rsidR="00254F5E" w:rsidRPr="000305A7">
        <w:rPr>
          <w:rFonts w:ascii="Times New Roman" w:eastAsia="宋体" w:hAnsi="Times New Roman" w:hint="eastAsia"/>
          <w:szCs w:val="24"/>
        </w:rPr>
        <w:t>配置混合</w:t>
      </w:r>
      <w:r w:rsidR="009B0B25" w:rsidRPr="000305A7">
        <w:rPr>
          <w:rFonts w:ascii="Times New Roman" w:eastAsia="宋体" w:hAnsi="Times New Roman" w:hint="eastAsia"/>
          <w:szCs w:val="24"/>
        </w:rPr>
        <w:t>A</w:t>
      </w:r>
      <w:r w:rsidRPr="000305A7">
        <w:rPr>
          <w:rFonts w:ascii="Times New Roman" w:eastAsia="宋体" w:hAnsi="Times New Roman" w:hint="eastAsia"/>
          <w:szCs w:val="24"/>
        </w:rPr>
        <w:t>份额总额</w:t>
      </w:r>
      <w:r w:rsidR="0081712A" w:rsidRPr="000305A7">
        <w:rPr>
          <w:rFonts w:ascii="Times New Roman" w:eastAsia="宋体" w:hAnsi="Times New Roman"/>
          <w:szCs w:val="24"/>
        </w:rPr>
        <w:t>7,868,040.16</w:t>
      </w:r>
      <w:r w:rsidRPr="000305A7">
        <w:rPr>
          <w:rFonts w:ascii="Times New Roman" w:eastAsia="宋体" w:hAnsi="Times New Roman" w:hint="eastAsia"/>
          <w:szCs w:val="24"/>
        </w:rPr>
        <w:t>份</w:t>
      </w:r>
      <w:r w:rsidR="00254F5E" w:rsidRPr="000305A7">
        <w:rPr>
          <w:rFonts w:ascii="Times New Roman" w:eastAsia="宋体" w:hAnsi="Times New Roman" w:hint="eastAsia"/>
          <w:szCs w:val="24"/>
        </w:rPr>
        <w:t>，</w:t>
      </w:r>
      <w:r w:rsidR="001F14DA" w:rsidRPr="000305A7">
        <w:rPr>
          <w:rFonts w:ascii="Times New Roman" w:eastAsia="宋体" w:hAnsi="Times New Roman" w:hint="eastAsia"/>
          <w:szCs w:val="24"/>
        </w:rPr>
        <w:t>基金</w:t>
      </w:r>
      <w:r w:rsidRPr="000305A7">
        <w:rPr>
          <w:rFonts w:ascii="Times New Roman" w:eastAsia="宋体" w:hAnsi="Times New Roman" w:hint="eastAsia"/>
          <w:szCs w:val="24"/>
        </w:rPr>
        <w:t>份额净值</w:t>
      </w:r>
      <w:r w:rsidR="0081712A" w:rsidRPr="000305A7">
        <w:rPr>
          <w:rFonts w:ascii="Times New Roman" w:eastAsia="宋体" w:hAnsi="Times New Roman"/>
          <w:szCs w:val="24"/>
        </w:rPr>
        <w:t>0.9856</w:t>
      </w:r>
      <w:r w:rsidRPr="000305A7">
        <w:rPr>
          <w:rFonts w:ascii="Times New Roman" w:eastAsia="宋体" w:hAnsi="Times New Roman" w:hint="eastAsia"/>
          <w:szCs w:val="24"/>
        </w:rPr>
        <w:t>元，基金资产净值</w:t>
      </w:r>
      <w:r w:rsidR="0081712A" w:rsidRPr="000305A7">
        <w:rPr>
          <w:rFonts w:ascii="Times New Roman" w:eastAsia="宋体" w:hAnsi="Times New Roman"/>
          <w:szCs w:val="24"/>
        </w:rPr>
        <w:t>7,754,583.64</w:t>
      </w:r>
      <w:r w:rsidRPr="000305A7">
        <w:rPr>
          <w:rFonts w:ascii="Times New Roman" w:eastAsia="宋体" w:hAnsi="Times New Roman" w:hint="eastAsia"/>
          <w:szCs w:val="24"/>
        </w:rPr>
        <w:t>元；</w:t>
      </w:r>
      <w:proofErr w:type="gramStart"/>
      <w:r w:rsidR="00254F5E" w:rsidRPr="000305A7">
        <w:rPr>
          <w:rFonts w:ascii="Times New Roman" w:hAnsi="Times New Roman"/>
        </w:rPr>
        <w:t>万家瑞尧灵活</w:t>
      </w:r>
      <w:proofErr w:type="gramEnd"/>
      <w:r w:rsidR="00254F5E" w:rsidRPr="000305A7">
        <w:rPr>
          <w:rFonts w:ascii="Times New Roman" w:hAnsi="Times New Roman"/>
        </w:rPr>
        <w:t>配置混合</w:t>
      </w:r>
      <w:r w:rsidRPr="000305A7">
        <w:rPr>
          <w:rFonts w:ascii="Times New Roman" w:eastAsia="宋体" w:hAnsi="Times New Roman" w:hint="eastAsia"/>
          <w:szCs w:val="24"/>
        </w:rPr>
        <w:t>C</w:t>
      </w:r>
      <w:r w:rsidRPr="000305A7">
        <w:rPr>
          <w:rFonts w:ascii="Times New Roman" w:eastAsia="宋体" w:hAnsi="Times New Roman" w:hint="eastAsia"/>
          <w:szCs w:val="24"/>
        </w:rPr>
        <w:t>份额总额</w:t>
      </w:r>
      <w:r w:rsidR="0081712A" w:rsidRPr="000305A7">
        <w:rPr>
          <w:rFonts w:ascii="Times New Roman" w:eastAsia="宋体" w:hAnsi="Times New Roman"/>
          <w:szCs w:val="24"/>
        </w:rPr>
        <w:t>703,559.89</w:t>
      </w:r>
      <w:r w:rsidRPr="000305A7">
        <w:rPr>
          <w:rFonts w:ascii="Times New Roman" w:eastAsia="宋体" w:hAnsi="Times New Roman" w:hint="eastAsia"/>
          <w:szCs w:val="24"/>
        </w:rPr>
        <w:t>份，基金份额净值</w:t>
      </w:r>
      <w:r w:rsidR="0081712A" w:rsidRPr="000305A7">
        <w:rPr>
          <w:rFonts w:ascii="Times New Roman" w:eastAsia="宋体" w:hAnsi="Times New Roman"/>
          <w:szCs w:val="24"/>
        </w:rPr>
        <w:t>0.9734</w:t>
      </w:r>
      <w:r w:rsidRPr="000305A7">
        <w:rPr>
          <w:rFonts w:ascii="Times New Roman" w:eastAsia="宋体" w:hAnsi="Times New Roman" w:hint="eastAsia"/>
          <w:szCs w:val="24"/>
        </w:rPr>
        <w:t>元，基金资产净值</w:t>
      </w:r>
      <w:r w:rsidR="0081712A" w:rsidRPr="000305A7">
        <w:rPr>
          <w:rFonts w:ascii="Times New Roman" w:eastAsia="宋体" w:hAnsi="Times New Roman"/>
          <w:szCs w:val="24"/>
        </w:rPr>
        <w:t>684,863.73</w:t>
      </w:r>
      <w:r w:rsidRPr="000305A7">
        <w:rPr>
          <w:rFonts w:ascii="Times New Roman" w:eastAsia="宋体" w:hAnsi="Times New Roman" w:hint="eastAsia"/>
          <w:szCs w:val="24"/>
        </w:rPr>
        <w:t>元。</w:t>
      </w:r>
    </w:p>
    <w:p w14:paraId="541FB9CF" w14:textId="77777777" w:rsidR="00811619" w:rsidRPr="000305A7" w:rsidRDefault="00811619" w:rsidP="00193570">
      <w:pPr>
        <w:tabs>
          <w:tab w:val="left" w:pos="540"/>
        </w:tabs>
        <w:adjustRightInd w:val="0"/>
        <w:snapToGrid w:val="0"/>
        <w:spacing w:line="312" w:lineRule="auto"/>
        <w:jc w:val="left"/>
        <w:rPr>
          <w:rFonts w:ascii="Times New Roman" w:hAnsi="Times New Roman"/>
          <w:szCs w:val="21"/>
        </w:rPr>
      </w:pPr>
    </w:p>
    <w:p w14:paraId="7317B34E" w14:textId="77777777" w:rsidR="00A3748E" w:rsidRPr="000305A7" w:rsidRDefault="00317794" w:rsidP="00192D9B">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t>五、基金财产分配</w:t>
      </w:r>
    </w:p>
    <w:p w14:paraId="6F46AE05" w14:textId="2252441E" w:rsidR="000C71F4" w:rsidRPr="000305A7" w:rsidRDefault="000C71F4"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自</w:t>
      </w:r>
      <w:r w:rsidR="00BC1DF7" w:rsidRPr="000305A7">
        <w:rPr>
          <w:rFonts w:ascii="Times New Roman" w:eastAsia="宋体" w:hAnsi="Times New Roman"/>
          <w:szCs w:val="24"/>
        </w:rPr>
        <w:t>20</w:t>
      </w:r>
      <w:r w:rsidR="00F51BFF" w:rsidRPr="000305A7">
        <w:rPr>
          <w:rFonts w:ascii="Times New Roman" w:eastAsia="宋体" w:hAnsi="Times New Roman"/>
          <w:szCs w:val="24"/>
        </w:rPr>
        <w:t>2</w:t>
      </w:r>
      <w:r w:rsidR="009B0B25" w:rsidRPr="000305A7">
        <w:rPr>
          <w:rFonts w:ascii="Times New Roman" w:eastAsia="宋体" w:hAnsi="Times New Roman"/>
          <w:szCs w:val="24"/>
        </w:rPr>
        <w:t>4</w:t>
      </w:r>
      <w:r w:rsidRPr="000305A7">
        <w:rPr>
          <w:rFonts w:ascii="Times New Roman" w:eastAsia="宋体" w:hAnsi="Times New Roman" w:hint="eastAsia"/>
          <w:szCs w:val="24"/>
        </w:rPr>
        <w:t>年</w:t>
      </w:r>
      <w:r w:rsidR="00254F5E" w:rsidRPr="000305A7">
        <w:rPr>
          <w:rFonts w:ascii="Times New Roman" w:eastAsia="宋体" w:hAnsi="Times New Roman"/>
          <w:szCs w:val="24"/>
        </w:rPr>
        <w:t>11</w:t>
      </w:r>
      <w:r w:rsidRPr="000305A7">
        <w:rPr>
          <w:rFonts w:ascii="Times New Roman" w:eastAsia="宋体" w:hAnsi="Times New Roman" w:hint="eastAsia"/>
          <w:szCs w:val="24"/>
        </w:rPr>
        <w:t>月</w:t>
      </w:r>
      <w:r w:rsidR="00254F5E" w:rsidRPr="000305A7">
        <w:rPr>
          <w:rFonts w:ascii="Times New Roman" w:eastAsia="宋体" w:hAnsi="Times New Roman"/>
          <w:szCs w:val="24"/>
        </w:rPr>
        <w:t>20</w:t>
      </w:r>
      <w:r w:rsidRPr="000305A7">
        <w:rPr>
          <w:rFonts w:ascii="Times New Roman" w:eastAsia="宋体" w:hAnsi="Times New Roman" w:hint="eastAsia"/>
          <w:szCs w:val="24"/>
        </w:rPr>
        <w:t>日至</w:t>
      </w:r>
      <w:r w:rsidR="009B0B25" w:rsidRPr="001C72AF">
        <w:rPr>
          <w:rFonts w:ascii="Times New Roman" w:eastAsia="宋体" w:hAnsi="Times New Roman"/>
          <w:szCs w:val="24"/>
        </w:rPr>
        <w:t>2024</w:t>
      </w:r>
      <w:r w:rsidRPr="001C72AF">
        <w:rPr>
          <w:rFonts w:ascii="Times New Roman" w:eastAsia="宋体" w:hAnsi="Times New Roman" w:hint="eastAsia"/>
          <w:szCs w:val="24"/>
        </w:rPr>
        <w:t>年</w:t>
      </w:r>
      <w:r w:rsidR="00254F5E" w:rsidRPr="001C72AF">
        <w:rPr>
          <w:rFonts w:ascii="Times New Roman" w:eastAsia="宋体" w:hAnsi="Times New Roman"/>
          <w:szCs w:val="24"/>
        </w:rPr>
        <w:t>11</w:t>
      </w:r>
      <w:r w:rsidRPr="001C72AF">
        <w:rPr>
          <w:rFonts w:ascii="Times New Roman" w:eastAsia="宋体" w:hAnsi="Times New Roman" w:hint="eastAsia"/>
          <w:szCs w:val="24"/>
        </w:rPr>
        <w:t>月</w:t>
      </w:r>
      <w:r w:rsidR="00901F25" w:rsidRPr="001C72AF">
        <w:rPr>
          <w:rFonts w:ascii="Times New Roman" w:eastAsia="宋体" w:hAnsi="Times New Roman"/>
          <w:szCs w:val="24"/>
        </w:rPr>
        <w:t>2</w:t>
      </w:r>
      <w:r w:rsidR="00DF7BC4" w:rsidRPr="001C72AF">
        <w:rPr>
          <w:rFonts w:ascii="Times New Roman" w:eastAsia="宋体" w:hAnsi="Times New Roman"/>
          <w:szCs w:val="24"/>
        </w:rPr>
        <w:t>2</w:t>
      </w:r>
      <w:r w:rsidRPr="001C72AF">
        <w:rPr>
          <w:rFonts w:ascii="Times New Roman" w:eastAsia="宋体" w:hAnsi="Times New Roman" w:hint="eastAsia"/>
          <w:szCs w:val="24"/>
        </w:rPr>
        <w:t>日</w:t>
      </w:r>
      <w:r w:rsidRPr="000305A7">
        <w:rPr>
          <w:rFonts w:ascii="Times New Roman" w:eastAsia="宋体" w:hAnsi="Times New Roman" w:hint="eastAsia"/>
          <w:szCs w:val="24"/>
        </w:rPr>
        <w:t>止</w:t>
      </w:r>
      <w:r w:rsidR="008056FE" w:rsidRPr="000305A7">
        <w:rPr>
          <w:rFonts w:ascii="Times New Roman" w:eastAsia="宋体" w:hAnsi="Times New Roman" w:hint="eastAsia"/>
          <w:szCs w:val="24"/>
        </w:rPr>
        <w:t>的</w:t>
      </w:r>
      <w:r w:rsidRPr="000305A7">
        <w:rPr>
          <w:rFonts w:ascii="Times New Roman" w:eastAsia="宋体" w:hAnsi="Times New Roman" w:hint="eastAsia"/>
          <w:szCs w:val="24"/>
        </w:rPr>
        <w:t>清算期间，基金财产清算小组对本基金的资产、负债进行清算，具体清算情况如下：</w:t>
      </w:r>
    </w:p>
    <w:p w14:paraId="2DD4CA2A" w14:textId="3852A785" w:rsidR="00AA09D2" w:rsidRPr="000305A7" w:rsidRDefault="0097219C"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1</w:t>
      </w:r>
      <w:r w:rsidRPr="000305A7">
        <w:rPr>
          <w:rFonts w:ascii="Times New Roman" w:eastAsia="宋体" w:hAnsi="Times New Roman" w:hint="eastAsia"/>
          <w:szCs w:val="24"/>
        </w:rPr>
        <w:t>、</w:t>
      </w:r>
      <w:r w:rsidR="00A3748E" w:rsidRPr="000305A7">
        <w:rPr>
          <w:rFonts w:ascii="Times New Roman" w:eastAsia="宋体" w:hAnsi="Times New Roman" w:hint="eastAsia"/>
          <w:szCs w:val="24"/>
        </w:rPr>
        <w:t>清算费用</w:t>
      </w:r>
    </w:p>
    <w:p w14:paraId="5DD7B76A" w14:textId="39EABD74" w:rsidR="00FF583A" w:rsidRPr="000305A7" w:rsidRDefault="00317794"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按照《</w:t>
      </w:r>
      <w:r w:rsidR="00BC1DF7" w:rsidRPr="000305A7">
        <w:rPr>
          <w:rFonts w:ascii="Times New Roman" w:eastAsia="宋体" w:hAnsi="Times New Roman" w:hint="eastAsia"/>
          <w:szCs w:val="24"/>
        </w:rPr>
        <w:t>基金合同</w:t>
      </w:r>
      <w:r w:rsidRPr="000305A7">
        <w:rPr>
          <w:rFonts w:ascii="Times New Roman" w:eastAsia="宋体" w:hAnsi="Times New Roman" w:hint="eastAsia"/>
          <w:szCs w:val="24"/>
        </w:rPr>
        <w:t>》第十九部分</w:t>
      </w:r>
      <w:r w:rsidR="000915D6" w:rsidRPr="000305A7">
        <w:rPr>
          <w:rFonts w:ascii="Times New Roman" w:eastAsia="宋体" w:hAnsi="Times New Roman" w:hint="eastAsia"/>
          <w:szCs w:val="24"/>
        </w:rPr>
        <w:t>“</w:t>
      </w:r>
      <w:r w:rsidRPr="000305A7">
        <w:rPr>
          <w:rFonts w:ascii="Times New Roman" w:eastAsia="宋体" w:hAnsi="Times New Roman" w:hint="eastAsia"/>
          <w:szCs w:val="24"/>
        </w:rPr>
        <w:t>基金合同的变更、终止与基金财产的清算</w:t>
      </w:r>
      <w:r w:rsidR="000915D6" w:rsidRPr="000305A7">
        <w:rPr>
          <w:rFonts w:ascii="Times New Roman" w:eastAsia="宋体" w:hAnsi="Times New Roman" w:hint="eastAsia"/>
          <w:szCs w:val="24"/>
        </w:rPr>
        <w:t>”</w:t>
      </w:r>
      <w:r w:rsidRPr="000305A7">
        <w:rPr>
          <w:rFonts w:ascii="Times New Roman" w:eastAsia="宋体" w:hAnsi="Times New Roman" w:hint="eastAsia"/>
          <w:szCs w:val="24"/>
        </w:rPr>
        <w:t>的规定，</w:t>
      </w:r>
      <w:r w:rsidR="00F51BFF" w:rsidRPr="000305A7">
        <w:rPr>
          <w:rFonts w:ascii="Times New Roman" w:eastAsia="宋体" w:hAnsi="Times New Roman" w:hint="eastAsia"/>
          <w:szCs w:val="24"/>
        </w:rPr>
        <w:t>清算费用是指基金财产清算小组在进行基金清算过程中发生的所有合理费用，清算费用由基金财产清算小组优先从基金剩余财产中支付</w:t>
      </w:r>
      <w:r w:rsidRPr="000305A7">
        <w:rPr>
          <w:rFonts w:ascii="Times New Roman" w:eastAsia="宋体" w:hAnsi="Times New Roman" w:hint="eastAsia"/>
          <w:szCs w:val="24"/>
        </w:rPr>
        <w:t>。</w:t>
      </w:r>
      <w:r w:rsidR="00344BBB" w:rsidRPr="000305A7">
        <w:rPr>
          <w:rFonts w:ascii="Times New Roman" w:eastAsia="宋体" w:hAnsi="Times New Roman" w:hint="eastAsia"/>
          <w:szCs w:val="24"/>
        </w:rPr>
        <w:t>考虑到本基金清算的实际情况，从保护基金份额持有人利益的角度出发，本基金的律师费将由基金管理人承担。</w:t>
      </w:r>
    </w:p>
    <w:p w14:paraId="37A43E64" w14:textId="77777777" w:rsidR="0046422D" w:rsidRPr="000305A7" w:rsidRDefault="0046422D"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szCs w:val="24"/>
        </w:rPr>
        <w:t>2</w:t>
      </w:r>
      <w:r w:rsidRPr="000305A7">
        <w:rPr>
          <w:rFonts w:ascii="Times New Roman" w:eastAsia="宋体" w:hAnsi="Times New Roman" w:hint="eastAsia"/>
          <w:szCs w:val="24"/>
        </w:rPr>
        <w:t>、资产处置情况</w:t>
      </w:r>
    </w:p>
    <w:p w14:paraId="32FA56D9" w14:textId="48D27D6F" w:rsidR="000C71F4" w:rsidRPr="000305A7" w:rsidRDefault="00560098"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1</w:t>
      </w:r>
      <w:r w:rsidR="003D10CA" w:rsidRPr="000305A7">
        <w:rPr>
          <w:rFonts w:ascii="Times New Roman" w:eastAsia="宋体" w:hAnsi="Times New Roman" w:hint="eastAsia"/>
          <w:szCs w:val="24"/>
        </w:rPr>
        <w:t>）本基金最后运作</w:t>
      </w:r>
      <w:proofErr w:type="gramStart"/>
      <w:r w:rsidR="003D10CA" w:rsidRPr="000305A7">
        <w:rPr>
          <w:rFonts w:ascii="Times New Roman" w:eastAsia="宋体" w:hAnsi="Times New Roman" w:hint="eastAsia"/>
          <w:szCs w:val="24"/>
        </w:rPr>
        <w:t>日</w:t>
      </w:r>
      <w:r w:rsidR="00406BB6" w:rsidRPr="000305A7">
        <w:rPr>
          <w:rFonts w:ascii="Times New Roman" w:eastAsia="宋体" w:hAnsi="Times New Roman" w:hint="eastAsia"/>
          <w:szCs w:val="24"/>
        </w:rPr>
        <w:t>货币</w:t>
      </w:r>
      <w:proofErr w:type="gramEnd"/>
      <w:r w:rsidR="00406BB6" w:rsidRPr="000305A7">
        <w:rPr>
          <w:rFonts w:ascii="Times New Roman" w:eastAsia="宋体" w:hAnsi="Times New Roman" w:hint="eastAsia"/>
          <w:szCs w:val="24"/>
        </w:rPr>
        <w:t>资金</w:t>
      </w:r>
      <w:r w:rsidRPr="000305A7">
        <w:rPr>
          <w:rFonts w:ascii="Times New Roman" w:eastAsia="宋体" w:hAnsi="Times New Roman" w:hint="eastAsia"/>
          <w:szCs w:val="24"/>
        </w:rPr>
        <w:t>余额为</w:t>
      </w:r>
      <w:r w:rsidR="00BE5860" w:rsidRPr="000305A7">
        <w:rPr>
          <w:rFonts w:ascii="Times New Roman" w:eastAsia="宋体" w:hAnsi="Times New Roman"/>
          <w:szCs w:val="24"/>
        </w:rPr>
        <w:t>8,432,735.06</w:t>
      </w:r>
      <w:r w:rsidR="00C06FF2" w:rsidRPr="000305A7">
        <w:rPr>
          <w:rFonts w:ascii="Times New Roman" w:eastAsia="宋体" w:hAnsi="Times New Roman" w:hint="eastAsia"/>
          <w:szCs w:val="24"/>
        </w:rPr>
        <w:t>元。其中</w:t>
      </w:r>
      <w:r w:rsidR="00781D92" w:rsidRPr="000305A7">
        <w:rPr>
          <w:rFonts w:ascii="Times New Roman" w:eastAsia="宋体" w:hAnsi="Times New Roman" w:hint="eastAsia"/>
          <w:szCs w:val="24"/>
        </w:rPr>
        <w:t>，</w:t>
      </w:r>
      <w:r w:rsidR="00C06FF2" w:rsidRPr="000305A7">
        <w:rPr>
          <w:rFonts w:ascii="Times New Roman" w:eastAsia="宋体" w:hAnsi="Times New Roman" w:hint="eastAsia"/>
          <w:szCs w:val="24"/>
        </w:rPr>
        <w:t>银行活期存款</w:t>
      </w:r>
      <w:r w:rsidR="00477901" w:rsidRPr="000305A7">
        <w:rPr>
          <w:rFonts w:ascii="Times New Roman" w:eastAsia="宋体" w:hAnsi="Times New Roman" w:hint="eastAsia"/>
          <w:szCs w:val="24"/>
        </w:rPr>
        <w:t>为</w:t>
      </w:r>
      <w:r w:rsidR="00BE5860" w:rsidRPr="000305A7">
        <w:rPr>
          <w:rFonts w:ascii="Times New Roman" w:eastAsia="宋体" w:hAnsi="Times New Roman"/>
          <w:szCs w:val="24"/>
        </w:rPr>
        <w:t>8,422,235.42</w:t>
      </w:r>
      <w:r w:rsidRPr="000305A7">
        <w:rPr>
          <w:rFonts w:ascii="Times New Roman" w:eastAsia="宋体" w:hAnsi="Times New Roman" w:hint="eastAsia"/>
          <w:szCs w:val="24"/>
        </w:rPr>
        <w:t>元</w:t>
      </w:r>
      <w:r w:rsidR="00781D92" w:rsidRPr="000305A7">
        <w:rPr>
          <w:rFonts w:ascii="Times New Roman" w:eastAsia="宋体" w:hAnsi="Times New Roman" w:hint="eastAsia"/>
          <w:szCs w:val="24"/>
        </w:rPr>
        <w:t>，存放于托管账户；</w:t>
      </w:r>
      <w:r w:rsidR="00F51BFF" w:rsidRPr="000305A7">
        <w:rPr>
          <w:rFonts w:ascii="Times New Roman" w:eastAsia="宋体" w:hAnsi="Times New Roman" w:hint="eastAsia"/>
          <w:szCs w:val="24"/>
        </w:rPr>
        <w:t>应</w:t>
      </w:r>
      <w:proofErr w:type="gramStart"/>
      <w:r w:rsidR="00F51BFF" w:rsidRPr="000305A7">
        <w:rPr>
          <w:rFonts w:ascii="Times New Roman" w:eastAsia="宋体" w:hAnsi="Times New Roman" w:hint="eastAsia"/>
          <w:szCs w:val="24"/>
        </w:rPr>
        <w:t>计银行</w:t>
      </w:r>
      <w:proofErr w:type="gramEnd"/>
      <w:r w:rsidR="00F51BFF" w:rsidRPr="000305A7">
        <w:rPr>
          <w:rFonts w:ascii="Times New Roman" w:eastAsia="宋体" w:hAnsi="Times New Roman" w:hint="eastAsia"/>
          <w:szCs w:val="24"/>
        </w:rPr>
        <w:t>存款利息</w:t>
      </w:r>
      <w:r w:rsidR="00477901" w:rsidRPr="000305A7">
        <w:rPr>
          <w:rFonts w:ascii="Times New Roman" w:eastAsia="宋体" w:hAnsi="Times New Roman" w:hint="eastAsia"/>
          <w:szCs w:val="24"/>
        </w:rPr>
        <w:t>为</w:t>
      </w:r>
      <w:r w:rsidR="00BE5860" w:rsidRPr="000305A7">
        <w:rPr>
          <w:rFonts w:ascii="Times New Roman" w:eastAsia="宋体" w:hAnsi="Times New Roman"/>
          <w:szCs w:val="24"/>
        </w:rPr>
        <w:t>10,499.64</w:t>
      </w:r>
      <w:r w:rsidR="00F51BFF" w:rsidRPr="000305A7">
        <w:rPr>
          <w:rFonts w:ascii="Times New Roman" w:eastAsia="宋体" w:hAnsi="Times New Roman" w:hint="eastAsia"/>
          <w:szCs w:val="24"/>
        </w:rPr>
        <w:t>元</w:t>
      </w:r>
      <w:r w:rsidR="007564F4" w:rsidRPr="000305A7">
        <w:rPr>
          <w:rFonts w:ascii="Times New Roman" w:eastAsia="宋体" w:hAnsi="Times New Roman" w:hint="eastAsia"/>
          <w:szCs w:val="24"/>
        </w:rPr>
        <w:t>，由基金管理人</w:t>
      </w:r>
      <w:r w:rsidR="007564F4" w:rsidRPr="000305A7">
        <w:rPr>
          <w:rFonts w:ascii="Times New Roman" w:eastAsia="宋体" w:hAnsi="Times New Roman"/>
          <w:szCs w:val="24"/>
        </w:rPr>
        <w:t>以自有资金先行垫付。</w:t>
      </w:r>
    </w:p>
    <w:p w14:paraId="5A950C6B" w14:textId="6B1ACC89" w:rsidR="001A240D" w:rsidRPr="000305A7" w:rsidRDefault="001A240D"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2</w:t>
      </w:r>
      <w:r w:rsidRPr="000305A7">
        <w:rPr>
          <w:rFonts w:ascii="Times New Roman" w:eastAsia="宋体" w:hAnsi="Times New Roman" w:hint="eastAsia"/>
          <w:szCs w:val="24"/>
        </w:rPr>
        <w:t>）本基金最后运作日结算备付金余额为</w:t>
      </w:r>
      <w:r w:rsidR="00BE5860" w:rsidRPr="000305A7">
        <w:rPr>
          <w:rFonts w:ascii="Times New Roman" w:eastAsia="宋体" w:hAnsi="Times New Roman"/>
          <w:szCs w:val="24"/>
        </w:rPr>
        <w:t>0.24</w:t>
      </w:r>
      <w:r w:rsidRPr="000305A7">
        <w:rPr>
          <w:rFonts w:ascii="Times New Roman" w:eastAsia="宋体" w:hAnsi="Times New Roman" w:hint="eastAsia"/>
          <w:szCs w:val="24"/>
        </w:rPr>
        <w:t>元</w:t>
      </w:r>
      <w:r w:rsidR="00BE5860" w:rsidRPr="000305A7">
        <w:rPr>
          <w:rFonts w:ascii="Times New Roman" w:eastAsia="宋体" w:hAnsi="Times New Roman" w:hint="eastAsia"/>
          <w:szCs w:val="24"/>
        </w:rPr>
        <w:t>，为应计最低清算备付金利息，</w:t>
      </w:r>
      <w:r w:rsidRPr="000305A7">
        <w:rPr>
          <w:rFonts w:ascii="Times New Roman" w:eastAsia="宋体" w:hAnsi="Times New Roman" w:hint="eastAsia"/>
          <w:szCs w:val="24"/>
        </w:rPr>
        <w:t>由基金管理人以自有资金先行垫付。</w:t>
      </w:r>
    </w:p>
    <w:p w14:paraId="178358FA" w14:textId="7509124E" w:rsidR="00486C4A" w:rsidRPr="000305A7" w:rsidRDefault="00486C4A"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3</w:t>
      </w:r>
      <w:r w:rsidRPr="000305A7">
        <w:rPr>
          <w:rFonts w:ascii="Times New Roman" w:eastAsia="宋体" w:hAnsi="Times New Roman" w:hint="eastAsia"/>
          <w:szCs w:val="24"/>
        </w:rPr>
        <w:t>）本基金最后</w:t>
      </w:r>
      <w:proofErr w:type="gramStart"/>
      <w:r w:rsidRPr="000305A7">
        <w:rPr>
          <w:rFonts w:ascii="Times New Roman" w:eastAsia="宋体" w:hAnsi="Times New Roman" w:hint="eastAsia"/>
          <w:szCs w:val="24"/>
        </w:rPr>
        <w:t>运作日存出</w:t>
      </w:r>
      <w:proofErr w:type="gramEnd"/>
      <w:r w:rsidRPr="000305A7">
        <w:rPr>
          <w:rFonts w:ascii="Times New Roman" w:eastAsia="宋体" w:hAnsi="Times New Roman" w:hint="eastAsia"/>
          <w:szCs w:val="24"/>
        </w:rPr>
        <w:t>保证金余额为</w:t>
      </w:r>
      <w:r w:rsidR="00BE5860" w:rsidRPr="000305A7">
        <w:rPr>
          <w:rFonts w:ascii="Times New Roman" w:eastAsia="宋体" w:hAnsi="Times New Roman"/>
          <w:szCs w:val="24"/>
        </w:rPr>
        <w:t>2</w:t>
      </w:r>
      <w:r w:rsidR="00BE5860" w:rsidRPr="000305A7">
        <w:rPr>
          <w:rFonts w:ascii="Times New Roman" w:eastAsia="宋体" w:hAnsi="Times New Roman" w:hint="eastAsia"/>
          <w:szCs w:val="24"/>
        </w:rPr>
        <w:t>,</w:t>
      </w:r>
      <w:r w:rsidR="00BE5860" w:rsidRPr="000305A7">
        <w:rPr>
          <w:rFonts w:ascii="Times New Roman" w:eastAsia="宋体" w:hAnsi="Times New Roman"/>
          <w:szCs w:val="24"/>
        </w:rPr>
        <w:t>433.67</w:t>
      </w:r>
      <w:r w:rsidRPr="000305A7">
        <w:rPr>
          <w:rFonts w:ascii="Times New Roman" w:eastAsia="宋体" w:hAnsi="Times New Roman" w:hint="eastAsia"/>
          <w:szCs w:val="24"/>
        </w:rPr>
        <w:t>元</w:t>
      </w:r>
      <w:r w:rsidR="002042EF" w:rsidRPr="000305A7">
        <w:rPr>
          <w:rFonts w:ascii="Times New Roman" w:eastAsia="宋体" w:hAnsi="Times New Roman" w:hint="eastAsia"/>
          <w:szCs w:val="24"/>
        </w:rPr>
        <w:t>。</w:t>
      </w:r>
      <w:r w:rsidR="00E17905" w:rsidRPr="000305A7">
        <w:rPr>
          <w:rFonts w:ascii="Times New Roman" w:eastAsia="宋体" w:hAnsi="Times New Roman" w:hint="eastAsia"/>
          <w:szCs w:val="24"/>
        </w:rPr>
        <w:t>其中</w:t>
      </w:r>
      <w:r w:rsidR="002042EF" w:rsidRPr="000305A7">
        <w:rPr>
          <w:rFonts w:ascii="Times New Roman" w:eastAsia="宋体" w:hAnsi="Times New Roman" w:hint="eastAsia"/>
          <w:szCs w:val="24"/>
        </w:rPr>
        <w:t>，存出保证金为</w:t>
      </w:r>
      <w:r w:rsidR="0093633A" w:rsidRPr="000305A7">
        <w:rPr>
          <w:rFonts w:ascii="Times New Roman" w:eastAsia="宋体" w:hAnsi="Times New Roman"/>
          <w:szCs w:val="24"/>
        </w:rPr>
        <w:t>2,426.53</w:t>
      </w:r>
      <w:r w:rsidR="002042EF" w:rsidRPr="000305A7">
        <w:rPr>
          <w:rFonts w:ascii="Times New Roman" w:eastAsia="宋体" w:hAnsi="Times New Roman" w:hint="eastAsia"/>
          <w:szCs w:val="24"/>
        </w:rPr>
        <w:t>元；</w:t>
      </w:r>
      <w:proofErr w:type="gramStart"/>
      <w:r w:rsidR="00E17905" w:rsidRPr="000305A7">
        <w:rPr>
          <w:rFonts w:ascii="Times New Roman" w:eastAsia="宋体" w:hAnsi="Times New Roman" w:hint="eastAsia"/>
          <w:szCs w:val="24"/>
        </w:rPr>
        <w:t>应计存出</w:t>
      </w:r>
      <w:proofErr w:type="gramEnd"/>
      <w:r w:rsidR="00E17905" w:rsidRPr="000305A7">
        <w:rPr>
          <w:rFonts w:ascii="Times New Roman" w:eastAsia="宋体" w:hAnsi="Times New Roman" w:hint="eastAsia"/>
          <w:szCs w:val="24"/>
        </w:rPr>
        <w:t>保证</w:t>
      </w:r>
      <w:r w:rsidR="00E17905" w:rsidRPr="000305A7">
        <w:rPr>
          <w:rFonts w:ascii="Times New Roman" w:eastAsia="宋体" w:hAnsi="Times New Roman"/>
          <w:szCs w:val="24"/>
        </w:rPr>
        <w:t>金利息为</w:t>
      </w:r>
      <w:r w:rsidR="0093633A" w:rsidRPr="000305A7">
        <w:rPr>
          <w:rFonts w:ascii="Times New Roman" w:eastAsia="宋体" w:hAnsi="Times New Roman"/>
          <w:szCs w:val="24"/>
        </w:rPr>
        <w:t>7.14</w:t>
      </w:r>
      <w:r w:rsidR="00E17905" w:rsidRPr="000305A7">
        <w:rPr>
          <w:rFonts w:ascii="Times New Roman" w:eastAsia="宋体" w:hAnsi="Times New Roman" w:hint="eastAsia"/>
          <w:szCs w:val="24"/>
        </w:rPr>
        <w:t>元</w:t>
      </w:r>
      <w:r w:rsidRPr="000305A7">
        <w:rPr>
          <w:rFonts w:ascii="Times New Roman" w:eastAsia="宋体" w:hAnsi="Times New Roman" w:hint="eastAsia"/>
          <w:szCs w:val="24"/>
        </w:rPr>
        <w:t>。由基金管理人以自有资金先行垫付。</w:t>
      </w:r>
    </w:p>
    <w:p w14:paraId="69E2FAC8" w14:textId="3F0675C4" w:rsidR="0093633A" w:rsidRPr="000305A7" w:rsidRDefault="00F51BFF" w:rsidP="00600C65">
      <w:pPr>
        <w:adjustRightInd w:val="0"/>
        <w:snapToGrid w:val="0"/>
        <w:spacing w:line="312" w:lineRule="auto"/>
        <w:ind w:firstLineChars="200" w:firstLine="420"/>
        <w:rPr>
          <w:rFonts w:ascii="Times New Roman" w:eastAsia="宋体" w:hAnsi="Times New Roman"/>
          <w:szCs w:val="24"/>
        </w:rPr>
      </w:pPr>
      <w:r w:rsidRPr="001C72AF">
        <w:rPr>
          <w:rFonts w:ascii="Times New Roman" w:eastAsia="宋体" w:hAnsi="Times New Roman" w:hint="eastAsia"/>
          <w:szCs w:val="24"/>
        </w:rPr>
        <w:lastRenderedPageBreak/>
        <w:t>（</w:t>
      </w:r>
      <w:r w:rsidR="00486C4A" w:rsidRPr="001C72AF">
        <w:rPr>
          <w:rFonts w:ascii="Times New Roman" w:eastAsia="宋体" w:hAnsi="Times New Roman"/>
          <w:szCs w:val="24"/>
        </w:rPr>
        <w:t>4</w:t>
      </w:r>
      <w:r w:rsidRPr="001C72AF">
        <w:rPr>
          <w:rFonts w:ascii="Times New Roman" w:eastAsia="宋体" w:hAnsi="Times New Roman" w:hint="eastAsia"/>
          <w:szCs w:val="24"/>
        </w:rPr>
        <w:t>）本基金最后运作</w:t>
      </w:r>
      <w:proofErr w:type="gramStart"/>
      <w:r w:rsidRPr="001C72AF">
        <w:rPr>
          <w:rFonts w:ascii="Times New Roman" w:eastAsia="宋体" w:hAnsi="Times New Roman" w:hint="eastAsia"/>
          <w:szCs w:val="24"/>
        </w:rPr>
        <w:t>日</w:t>
      </w:r>
      <w:r w:rsidR="00600C65" w:rsidRPr="001C72AF">
        <w:rPr>
          <w:rFonts w:ascii="Times New Roman" w:eastAsia="宋体" w:hAnsi="Times New Roman" w:hint="eastAsia"/>
          <w:szCs w:val="24"/>
        </w:rPr>
        <w:t>其他</w:t>
      </w:r>
      <w:proofErr w:type="gramEnd"/>
      <w:r w:rsidR="00600C65" w:rsidRPr="001C72AF">
        <w:rPr>
          <w:rFonts w:ascii="Times New Roman" w:eastAsia="宋体" w:hAnsi="Times New Roman" w:hint="eastAsia"/>
          <w:szCs w:val="24"/>
        </w:rPr>
        <w:t>资产余额为</w:t>
      </w:r>
      <w:r w:rsidR="00600C65" w:rsidRPr="001C72AF">
        <w:rPr>
          <w:rFonts w:ascii="Times New Roman" w:eastAsia="宋体" w:hAnsi="Times New Roman"/>
          <w:szCs w:val="24"/>
        </w:rPr>
        <w:t>12,910.80</w:t>
      </w:r>
      <w:r w:rsidR="00600C65" w:rsidRPr="001C72AF">
        <w:rPr>
          <w:rFonts w:ascii="Times New Roman" w:eastAsia="宋体" w:hAnsi="Times New Roman" w:hint="eastAsia"/>
          <w:szCs w:val="24"/>
        </w:rPr>
        <w:t>元，为</w:t>
      </w:r>
      <w:r w:rsidR="0093633A" w:rsidRPr="001C72AF">
        <w:rPr>
          <w:rFonts w:ascii="Times New Roman" w:eastAsia="宋体" w:hAnsi="Times New Roman" w:hint="eastAsia"/>
          <w:szCs w:val="24"/>
        </w:rPr>
        <w:t>其他应收款，</w:t>
      </w:r>
      <w:r w:rsidR="00A93ED8" w:rsidRPr="001C72AF">
        <w:rPr>
          <w:rFonts w:ascii="Times New Roman" w:eastAsia="宋体" w:hAnsi="Times New Roman" w:hint="eastAsia"/>
          <w:szCs w:val="24"/>
        </w:rPr>
        <w:t>该款项</w:t>
      </w:r>
      <w:r w:rsidR="00305193" w:rsidRPr="001C72AF">
        <w:rPr>
          <w:rFonts w:ascii="Times New Roman" w:eastAsia="宋体" w:hAnsi="Times New Roman" w:hint="eastAsia"/>
          <w:szCs w:val="24"/>
        </w:rPr>
        <w:t>已于</w:t>
      </w:r>
      <w:r w:rsidR="00305193" w:rsidRPr="001C72AF">
        <w:rPr>
          <w:rFonts w:ascii="Times New Roman" w:eastAsia="宋体" w:hAnsi="Times New Roman" w:hint="eastAsia"/>
          <w:szCs w:val="24"/>
        </w:rPr>
        <w:t>2</w:t>
      </w:r>
      <w:r w:rsidR="00305193" w:rsidRPr="001C72AF">
        <w:rPr>
          <w:rFonts w:ascii="Times New Roman" w:eastAsia="宋体" w:hAnsi="Times New Roman"/>
          <w:szCs w:val="24"/>
        </w:rPr>
        <w:t>024</w:t>
      </w:r>
      <w:r w:rsidR="00305193" w:rsidRPr="001C72AF">
        <w:rPr>
          <w:rFonts w:ascii="Times New Roman" w:eastAsia="宋体" w:hAnsi="Times New Roman" w:hint="eastAsia"/>
          <w:szCs w:val="24"/>
        </w:rPr>
        <w:t>年</w:t>
      </w:r>
      <w:r w:rsidR="00305193" w:rsidRPr="001C72AF">
        <w:rPr>
          <w:rFonts w:ascii="Times New Roman" w:eastAsia="宋体" w:hAnsi="Times New Roman" w:hint="eastAsia"/>
          <w:szCs w:val="24"/>
        </w:rPr>
        <w:t>1</w:t>
      </w:r>
      <w:r w:rsidR="00305193" w:rsidRPr="001C72AF">
        <w:rPr>
          <w:rFonts w:ascii="Times New Roman" w:eastAsia="宋体" w:hAnsi="Times New Roman"/>
          <w:szCs w:val="24"/>
        </w:rPr>
        <w:t>1</w:t>
      </w:r>
      <w:r w:rsidR="00305193" w:rsidRPr="001C72AF">
        <w:rPr>
          <w:rFonts w:ascii="Times New Roman" w:eastAsia="宋体" w:hAnsi="Times New Roman" w:hint="eastAsia"/>
          <w:szCs w:val="24"/>
        </w:rPr>
        <w:t>月</w:t>
      </w:r>
      <w:r w:rsidR="00305193" w:rsidRPr="001C72AF">
        <w:rPr>
          <w:rFonts w:ascii="Times New Roman" w:eastAsia="宋体" w:hAnsi="Times New Roman" w:hint="eastAsia"/>
          <w:szCs w:val="24"/>
        </w:rPr>
        <w:t>2</w:t>
      </w:r>
      <w:r w:rsidR="00305193" w:rsidRPr="001C72AF">
        <w:rPr>
          <w:rFonts w:ascii="Times New Roman" w:eastAsia="宋体" w:hAnsi="Times New Roman"/>
          <w:szCs w:val="24"/>
        </w:rPr>
        <w:t>2</w:t>
      </w:r>
      <w:r w:rsidR="00305193" w:rsidRPr="001C72AF">
        <w:rPr>
          <w:rFonts w:ascii="Times New Roman" w:eastAsia="宋体" w:hAnsi="Times New Roman" w:hint="eastAsia"/>
          <w:szCs w:val="24"/>
        </w:rPr>
        <w:t>日收回基金托管户</w:t>
      </w:r>
      <w:r w:rsidR="0093633A" w:rsidRPr="001C72AF">
        <w:rPr>
          <w:rFonts w:ascii="Times New Roman" w:eastAsia="宋体" w:hAnsi="Times New Roman" w:hint="eastAsia"/>
          <w:szCs w:val="24"/>
        </w:rPr>
        <w:t>。</w:t>
      </w:r>
    </w:p>
    <w:p w14:paraId="46131F9B" w14:textId="77777777" w:rsidR="00AC6B26" w:rsidRPr="000305A7" w:rsidRDefault="00AC6B26"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szCs w:val="24"/>
        </w:rPr>
        <w:t>3</w:t>
      </w:r>
      <w:r w:rsidRPr="000305A7">
        <w:rPr>
          <w:rFonts w:ascii="Times New Roman" w:eastAsia="宋体" w:hAnsi="Times New Roman" w:hint="eastAsia"/>
          <w:szCs w:val="24"/>
        </w:rPr>
        <w:t>、负债清偿情况</w:t>
      </w:r>
    </w:p>
    <w:p w14:paraId="2AA0F06D" w14:textId="21E08362" w:rsidR="00B97C11" w:rsidRPr="000305A7" w:rsidRDefault="00B97C11" w:rsidP="00B97C11">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1</w:t>
      </w:r>
      <w:r w:rsidRPr="000305A7">
        <w:rPr>
          <w:rFonts w:ascii="Times New Roman" w:eastAsia="宋体" w:hAnsi="Times New Roman" w:hint="eastAsia"/>
          <w:szCs w:val="24"/>
        </w:rPr>
        <w:t>）本基金最后运作日应付</w:t>
      </w:r>
      <w:proofErr w:type="gramStart"/>
      <w:r w:rsidRPr="000305A7">
        <w:rPr>
          <w:rFonts w:ascii="Times New Roman" w:eastAsia="宋体" w:hAnsi="Times New Roman" w:hint="eastAsia"/>
          <w:szCs w:val="24"/>
        </w:rPr>
        <w:t>赎回款</w:t>
      </w:r>
      <w:proofErr w:type="gramEnd"/>
      <w:r w:rsidRPr="000305A7">
        <w:rPr>
          <w:rFonts w:ascii="Times New Roman" w:eastAsia="宋体" w:hAnsi="Times New Roman" w:hint="eastAsia"/>
          <w:szCs w:val="24"/>
        </w:rPr>
        <w:t>为</w:t>
      </w:r>
      <w:r w:rsidRPr="000305A7">
        <w:rPr>
          <w:rFonts w:ascii="Times New Roman" w:eastAsia="宋体" w:hAnsi="Times New Roman"/>
          <w:szCs w:val="24"/>
        </w:rPr>
        <w:t>54.17</w:t>
      </w:r>
      <w:r w:rsidRPr="000305A7">
        <w:rPr>
          <w:rFonts w:ascii="Times New Roman" w:eastAsia="宋体" w:hAnsi="Times New Roman" w:hint="eastAsia"/>
          <w:szCs w:val="24"/>
        </w:rPr>
        <w:t>元，该款项已于</w:t>
      </w:r>
      <w:r w:rsidRPr="000305A7">
        <w:rPr>
          <w:rFonts w:ascii="Times New Roman" w:eastAsia="宋体" w:hAnsi="Times New Roman"/>
          <w:szCs w:val="24"/>
        </w:rPr>
        <w:t xml:space="preserve"> 2024</w:t>
      </w:r>
      <w:r w:rsidRPr="000305A7">
        <w:rPr>
          <w:rFonts w:ascii="Times New Roman" w:eastAsia="宋体" w:hAnsi="Times New Roman" w:hint="eastAsia"/>
          <w:szCs w:val="24"/>
        </w:rPr>
        <w:t>年</w:t>
      </w:r>
      <w:r w:rsidRPr="000305A7">
        <w:rPr>
          <w:rFonts w:ascii="Times New Roman" w:eastAsia="宋体" w:hAnsi="Times New Roman"/>
          <w:szCs w:val="24"/>
        </w:rPr>
        <w:t>11</w:t>
      </w:r>
      <w:r w:rsidRPr="000305A7">
        <w:rPr>
          <w:rFonts w:ascii="Times New Roman" w:eastAsia="宋体" w:hAnsi="Times New Roman" w:hint="eastAsia"/>
          <w:szCs w:val="24"/>
        </w:rPr>
        <w:t>月</w:t>
      </w:r>
      <w:r w:rsidRPr="000305A7">
        <w:rPr>
          <w:rFonts w:ascii="Times New Roman" w:eastAsia="宋体" w:hAnsi="Times New Roman"/>
          <w:szCs w:val="24"/>
        </w:rPr>
        <w:t>20</w:t>
      </w:r>
      <w:r w:rsidRPr="000305A7">
        <w:rPr>
          <w:rFonts w:ascii="Times New Roman" w:eastAsia="宋体" w:hAnsi="Times New Roman" w:hint="eastAsia"/>
          <w:szCs w:val="24"/>
        </w:rPr>
        <w:t>日支付。</w:t>
      </w:r>
    </w:p>
    <w:p w14:paraId="66B04E74" w14:textId="319A4524" w:rsidR="00AC6B26" w:rsidRPr="000305A7" w:rsidRDefault="00AC6B26"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00B97C11" w:rsidRPr="000305A7">
        <w:rPr>
          <w:rFonts w:ascii="Times New Roman" w:eastAsia="宋体" w:hAnsi="Times New Roman"/>
          <w:szCs w:val="24"/>
        </w:rPr>
        <w:t>2</w:t>
      </w:r>
      <w:r w:rsidRPr="000305A7">
        <w:rPr>
          <w:rFonts w:ascii="Times New Roman" w:eastAsia="宋体" w:hAnsi="Times New Roman" w:hint="eastAsia"/>
          <w:szCs w:val="24"/>
        </w:rPr>
        <w:t>）本基金最后运作日应付管理人报酬为</w:t>
      </w:r>
      <w:r w:rsidR="00B97C11" w:rsidRPr="000305A7">
        <w:rPr>
          <w:rFonts w:ascii="Times New Roman" w:eastAsia="宋体" w:hAnsi="Times New Roman"/>
          <w:szCs w:val="24"/>
        </w:rPr>
        <w:t>3,067.87</w:t>
      </w:r>
      <w:r w:rsidRPr="000305A7">
        <w:rPr>
          <w:rFonts w:ascii="Times New Roman" w:eastAsia="宋体" w:hAnsi="Times New Roman" w:hint="eastAsia"/>
          <w:szCs w:val="24"/>
        </w:rPr>
        <w:t>元，该款项已于</w:t>
      </w:r>
      <w:r w:rsidR="00FE277C" w:rsidRPr="000305A7">
        <w:rPr>
          <w:rFonts w:ascii="Times New Roman" w:eastAsia="宋体" w:hAnsi="Times New Roman"/>
          <w:szCs w:val="24"/>
        </w:rPr>
        <w:t xml:space="preserve"> 202</w:t>
      </w:r>
      <w:r w:rsidR="009B07AD" w:rsidRPr="000305A7">
        <w:rPr>
          <w:rFonts w:ascii="Times New Roman" w:eastAsia="宋体" w:hAnsi="Times New Roman"/>
          <w:szCs w:val="24"/>
        </w:rPr>
        <w:t>4</w:t>
      </w:r>
      <w:r w:rsidR="00FE277C" w:rsidRPr="000305A7">
        <w:rPr>
          <w:rFonts w:ascii="Times New Roman" w:eastAsia="宋体" w:hAnsi="Times New Roman" w:hint="eastAsia"/>
          <w:szCs w:val="24"/>
        </w:rPr>
        <w:t>年</w:t>
      </w:r>
      <w:r w:rsidR="00B97C11" w:rsidRPr="000305A7">
        <w:rPr>
          <w:rFonts w:ascii="Times New Roman" w:eastAsia="宋体" w:hAnsi="Times New Roman"/>
          <w:szCs w:val="24"/>
        </w:rPr>
        <w:t>11</w:t>
      </w:r>
      <w:r w:rsidR="00FE277C" w:rsidRPr="000305A7">
        <w:rPr>
          <w:rFonts w:ascii="Times New Roman" w:eastAsia="宋体" w:hAnsi="Times New Roman" w:hint="eastAsia"/>
          <w:szCs w:val="24"/>
        </w:rPr>
        <w:t>月</w:t>
      </w:r>
      <w:r w:rsidR="00B97C11" w:rsidRPr="000305A7">
        <w:rPr>
          <w:rFonts w:ascii="Times New Roman" w:eastAsia="宋体" w:hAnsi="Times New Roman"/>
          <w:szCs w:val="24"/>
        </w:rPr>
        <w:t>2</w:t>
      </w:r>
      <w:r w:rsidR="009B07AD" w:rsidRPr="000305A7">
        <w:rPr>
          <w:rFonts w:ascii="Times New Roman" w:eastAsia="宋体" w:hAnsi="Times New Roman"/>
          <w:szCs w:val="24"/>
        </w:rPr>
        <w:t>0</w:t>
      </w:r>
      <w:r w:rsidR="00FE277C" w:rsidRPr="000305A7">
        <w:rPr>
          <w:rFonts w:ascii="Times New Roman" w:eastAsia="宋体" w:hAnsi="Times New Roman" w:hint="eastAsia"/>
          <w:szCs w:val="24"/>
        </w:rPr>
        <w:t>日</w:t>
      </w:r>
      <w:r w:rsidRPr="000305A7">
        <w:rPr>
          <w:rFonts w:ascii="Times New Roman" w:eastAsia="宋体" w:hAnsi="Times New Roman" w:hint="eastAsia"/>
          <w:szCs w:val="24"/>
        </w:rPr>
        <w:t>支付。</w:t>
      </w:r>
    </w:p>
    <w:p w14:paraId="14BEAD7B" w14:textId="457CC87E" w:rsidR="00B65869" w:rsidRPr="000305A7" w:rsidRDefault="00AC6B26"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00B97C11" w:rsidRPr="000305A7">
        <w:rPr>
          <w:rFonts w:ascii="Times New Roman" w:eastAsia="宋体" w:hAnsi="Times New Roman"/>
          <w:szCs w:val="24"/>
        </w:rPr>
        <w:t>3</w:t>
      </w:r>
      <w:r w:rsidRPr="000305A7">
        <w:rPr>
          <w:rFonts w:ascii="Times New Roman" w:eastAsia="宋体" w:hAnsi="Times New Roman" w:hint="eastAsia"/>
          <w:szCs w:val="24"/>
        </w:rPr>
        <w:t>）本基金最后运作日应付托管费为</w:t>
      </w:r>
      <w:r w:rsidR="00B97C11" w:rsidRPr="000305A7">
        <w:rPr>
          <w:rFonts w:ascii="Times New Roman" w:eastAsia="宋体" w:hAnsi="Times New Roman"/>
          <w:szCs w:val="24"/>
        </w:rPr>
        <w:t>438.27</w:t>
      </w:r>
      <w:r w:rsidRPr="000305A7">
        <w:rPr>
          <w:rFonts w:ascii="Times New Roman" w:eastAsia="宋体" w:hAnsi="Times New Roman" w:hint="eastAsia"/>
          <w:szCs w:val="24"/>
        </w:rPr>
        <w:t>元，</w:t>
      </w:r>
      <w:r w:rsidR="00B65869" w:rsidRPr="000305A7">
        <w:rPr>
          <w:rFonts w:ascii="Times New Roman" w:eastAsia="宋体" w:hAnsi="Times New Roman" w:hint="eastAsia"/>
          <w:szCs w:val="24"/>
        </w:rPr>
        <w:t>该款项已于</w:t>
      </w:r>
      <w:r w:rsidR="00FE277C" w:rsidRPr="000305A7">
        <w:rPr>
          <w:rFonts w:ascii="Times New Roman" w:eastAsia="宋体" w:hAnsi="Times New Roman"/>
          <w:szCs w:val="24"/>
        </w:rPr>
        <w:t>202</w:t>
      </w:r>
      <w:r w:rsidR="009B07AD" w:rsidRPr="000305A7">
        <w:rPr>
          <w:rFonts w:ascii="Times New Roman" w:eastAsia="宋体" w:hAnsi="Times New Roman"/>
          <w:szCs w:val="24"/>
        </w:rPr>
        <w:t>4</w:t>
      </w:r>
      <w:r w:rsidR="00FE277C" w:rsidRPr="000305A7">
        <w:rPr>
          <w:rFonts w:ascii="Times New Roman" w:eastAsia="宋体" w:hAnsi="Times New Roman" w:hint="eastAsia"/>
          <w:szCs w:val="24"/>
        </w:rPr>
        <w:t>年</w:t>
      </w:r>
      <w:r w:rsidR="00B97C11" w:rsidRPr="000305A7">
        <w:rPr>
          <w:rFonts w:ascii="Times New Roman" w:eastAsia="宋体" w:hAnsi="Times New Roman"/>
          <w:szCs w:val="24"/>
        </w:rPr>
        <w:t>11</w:t>
      </w:r>
      <w:r w:rsidR="00FE277C" w:rsidRPr="000305A7">
        <w:rPr>
          <w:rFonts w:ascii="Times New Roman" w:eastAsia="宋体" w:hAnsi="Times New Roman" w:hint="eastAsia"/>
          <w:szCs w:val="24"/>
        </w:rPr>
        <w:t>月</w:t>
      </w:r>
      <w:r w:rsidR="00B97C11" w:rsidRPr="000305A7">
        <w:rPr>
          <w:rFonts w:ascii="Times New Roman" w:eastAsia="宋体" w:hAnsi="Times New Roman"/>
          <w:szCs w:val="24"/>
        </w:rPr>
        <w:t>2</w:t>
      </w:r>
      <w:r w:rsidR="009B07AD" w:rsidRPr="000305A7">
        <w:rPr>
          <w:rFonts w:ascii="Times New Roman" w:eastAsia="宋体" w:hAnsi="Times New Roman"/>
          <w:szCs w:val="24"/>
        </w:rPr>
        <w:t>0</w:t>
      </w:r>
      <w:r w:rsidR="00FE277C" w:rsidRPr="000305A7">
        <w:rPr>
          <w:rFonts w:ascii="Times New Roman" w:eastAsia="宋体" w:hAnsi="Times New Roman" w:hint="eastAsia"/>
          <w:szCs w:val="24"/>
        </w:rPr>
        <w:t>日</w:t>
      </w:r>
      <w:r w:rsidR="00B65869" w:rsidRPr="000305A7">
        <w:rPr>
          <w:rFonts w:ascii="Times New Roman" w:eastAsia="宋体" w:hAnsi="Times New Roman" w:hint="eastAsia"/>
          <w:szCs w:val="24"/>
        </w:rPr>
        <w:t>支付。</w:t>
      </w:r>
    </w:p>
    <w:p w14:paraId="112DDAA3" w14:textId="477659E8" w:rsidR="00E855D5" w:rsidRPr="000305A7" w:rsidRDefault="00B65869" w:rsidP="00B97C11">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00B97C11" w:rsidRPr="000305A7">
        <w:rPr>
          <w:rFonts w:ascii="Times New Roman" w:eastAsia="宋体" w:hAnsi="Times New Roman"/>
          <w:szCs w:val="24"/>
        </w:rPr>
        <w:t>4</w:t>
      </w:r>
      <w:r w:rsidRPr="000305A7">
        <w:rPr>
          <w:rFonts w:ascii="Times New Roman" w:eastAsia="宋体" w:hAnsi="Times New Roman" w:hint="eastAsia"/>
          <w:szCs w:val="24"/>
        </w:rPr>
        <w:t>）本基金最后运作日应付销售服务费为</w:t>
      </w:r>
      <w:r w:rsidR="00B97C11" w:rsidRPr="000305A7">
        <w:rPr>
          <w:rFonts w:ascii="Times New Roman" w:eastAsia="宋体" w:hAnsi="Times New Roman"/>
          <w:szCs w:val="24"/>
        </w:rPr>
        <w:t>72.09</w:t>
      </w:r>
      <w:r w:rsidRPr="000305A7">
        <w:rPr>
          <w:rFonts w:ascii="Times New Roman" w:eastAsia="宋体" w:hAnsi="Times New Roman" w:hint="eastAsia"/>
          <w:szCs w:val="24"/>
        </w:rPr>
        <w:t>元，该款项已于</w:t>
      </w:r>
      <w:r w:rsidR="00FE277C" w:rsidRPr="000305A7">
        <w:rPr>
          <w:rFonts w:ascii="Times New Roman" w:eastAsia="宋体" w:hAnsi="Times New Roman"/>
          <w:szCs w:val="24"/>
        </w:rPr>
        <w:t>202</w:t>
      </w:r>
      <w:r w:rsidR="009B07AD" w:rsidRPr="000305A7">
        <w:rPr>
          <w:rFonts w:ascii="Times New Roman" w:eastAsia="宋体" w:hAnsi="Times New Roman"/>
          <w:szCs w:val="24"/>
        </w:rPr>
        <w:t>4</w:t>
      </w:r>
      <w:r w:rsidR="00FE277C" w:rsidRPr="000305A7">
        <w:rPr>
          <w:rFonts w:ascii="Times New Roman" w:eastAsia="宋体" w:hAnsi="Times New Roman" w:hint="eastAsia"/>
          <w:szCs w:val="24"/>
        </w:rPr>
        <w:t>年</w:t>
      </w:r>
      <w:r w:rsidR="00B97C11" w:rsidRPr="000305A7">
        <w:rPr>
          <w:rFonts w:ascii="Times New Roman" w:eastAsia="宋体" w:hAnsi="Times New Roman"/>
          <w:szCs w:val="24"/>
        </w:rPr>
        <w:t>11</w:t>
      </w:r>
      <w:r w:rsidR="00FE277C" w:rsidRPr="000305A7">
        <w:rPr>
          <w:rFonts w:ascii="Times New Roman" w:eastAsia="宋体" w:hAnsi="Times New Roman" w:hint="eastAsia"/>
          <w:szCs w:val="24"/>
        </w:rPr>
        <w:t>月</w:t>
      </w:r>
      <w:r w:rsidR="00B97C11" w:rsidRPr="000305A7">
        <w:rPr>
          <w:rFonts w:ascii="Times New Roman" w:eastAsia="宋体" w:hAnsi="Times New Roman"/>
          <w:szCs w:val="24"/>
        </w:rPr>
        <w:t>2</w:t>
      </w:r>
      <w:r w:rsidR="009B07AD" w:rsidRPr="000305A7">
        <w:rPr>
          <w:rFonts w:ascii="Times New Roman" w:eastAsia="宋体" w:hAnsi="Times New Roman"/>
          <w:szCs w:val="24"/>
        </w:rPr>
        <w:t>0</w:t>
      </w:r>
      <w:r w:rsidR="00FE277C" w:rsidRPr="000305A7">
        <w:rPr>
          <w:rFonts w:ascii="Times New Roman" w:eastAsia="宋体" w:hAnsi="Times New Roman" w:hint="eastAsia"/>
          <w:szCs w:val="24"/>
        </w:rPr>
        <w:t>日</w:t>
      </w:r>
      <w:r w:rsidRPr="000305A7">
        <w:rPr>
          <w:rFonts w:ascii="Times New Roman" w:eastAsia="宋体" w:hAnsi="Times New Roman" w:hint="eastAsia"/>
          <w:szCs w:val="24"/>
        </w:rPr>
        <w:t>支付。</w:t>
      </w:r>
    </w:p>
    <w:p w14:paraId="05246D90" w14:textId="3C4F2C2B" w:rsidR="00BB2FBD" w:rsidRPr="000305A7" w:rsidRDefault="00BB2FBD"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00E855D5" w:rsidRPr="000305A7">
        <w:rPr>
          <w:rFonts w:ascii="Times New Roman" w:eastAsia="宋体" w:hAnsi="Times New Roman"/>
          <w:szCs w:val="24"/>
        </w:rPr>
        <w:t>5</w:t>
      </w:r>
      <w:r w:rsidRPr="000305A7">
        <w:rPr>
          <w:rFonts w:ascii="Times New Roman" w:eastAsia="宋体" w:hAnsi="Times New Roman" w:hint="eastAsia"/>
          <w:szCs w:val="24"/>
        </w:rPr>
        <w:t>）</w:t>
      </w:r>
      <w:r w:rsidR="00E46390" w:rsidRPr="000305A7">
        <w:rPr>
          <w:rFonts w:ascii="Times New Roman" w:eastAsia="宋体" w:hAnsi="Times New Roman" w:hint="eastAsia"/>
          <w:szCs w:val="24"/>
        </w:rPr>
        <w:t>本基金最后运作</w:t>
      </w:r>
      <w:proofErr w:type="gramStart"/>
      <w:r w:rsidR="00E46390" w:rsidRPr="000305A7">
        <w:rPr>
          <w:rFonts w:ascii="Times New Roman" w:eastAsia="宋体" w:hAnsi="Times New Roman" w:hint="eastAsia"/>
          <w:szCs w:val="24"/>
        </w:rPr>
        <w:t>日</w:t>
      </w:r>
      <w:r w:rsidR="00D53F81" w:rsidRPr="000305A7">
        <w:rPr>
          <w:rFonts w:ascii="Times New Roman" w:eastAsia="宋体" w:hAnsi="Times New Roman" w:hint="eastAsia"/>
          <w:szCs w:val="24"/>
        </w:rPr>
        <w:t>其他</w:t>
      </w:r>
      <w:proofErr w:type="gramEnd"/>
      <w:r w:rsidR="00D53F81" w:rsidRPr="000305A7">
        <w:rPr>
          <w:rFonts w:ascii="Times New Roman" w:eastAsia="宋体" w:hAnsi="Times New Roman" w:hint="eastAsia"/>
          <w:szCs w:val="24"/>
        </w:rPr>
        <w:t>负债为</w:t>
      </w:r>
      <w:r w:rsidR="00B97C11" w:rsidRPr="000305A7">
        <w:rPr>
          <w:rFonts w:ascii="Times New Roman" w:eastAsia="宋体" w:hAnsi="Times New Roman"/>
          <w:szCs w:val="24"/>
        </w:rPr>
        <w:t>5</w:t>
      </w:r>
      <w:r w:rsidR="00B97C11" w:rsidRPr="000305A7">
        <w:rPr>
          <w:rFonts w:ascii="Times New Roman" w:eastAsia="宋体" w:hAnsi="Times New Roman" w:hint="eastAsia"/>
          <w:szCs w:val="24"/>
        </w:rPr>
        <w:t>,</w:t>
      </w:r>
      <w:r w:rsidR="00B97C11" w:rsidRPr="000305A7">
        <w:rPr>
          <w:rFonts w:ascii="Times New Roman" w:eastAsia="宋体" w:hAnsi="Times New Roman"/>
          <w:szCs w:val="24"/>
        </w:rPr>
        <w:t>000.00</w:t>
      </w:r>
      <w:r w:rsidR="00781D92" w:rsidRPr="000305A7">
        <w:rPr>
          <w:rFonts w:ascii="Times New Roman" w:eastAsia="宋体" w:hAnsi="Times New Roman" w:hint="eastAsia"/>
          <w:szCs w:val="24"/>
        </w:rPr>
        <w:t>元</w:t>
      </w:r>
      <w:r w:rsidR="00B97C11" w:rsidRPr="000305A7">
        <w:rPr>
          <w:rFonts w:ascii="Times New Roman" w:eastAsia="宋体" w:hAnsi="Times New Roman" w:hint="eastAsia"/>
          <w:szCs w:val="24"/>
        </w:rPr>
        <w:t>，为</w:t>
      </w:r>
      <w:r w:rsidR="00FE277C" w:rsidRPr="000305A7">
        <w:rPr>
          <w:rFonts w:ascii="Times New Roman" w:eastAsia="宋体" w:hAnsi="Times New Roman" w:hint="eastAsia"/>
          <w:szCs w:val="24"/>
        </w:rPr>
        <w:t>应付审计费，</w:t>
      </w:r>
      <w:r w:rsidR="004C4B86" w:rsidRPr="000305A7">
        <w:rPr>
          <w:rFonts w:ascii="Times New Roman" w:eastAsia="宋体" w:hAnsi="Times New Roman" w:hint="eastAsia"/>
          <w:szCs w:val="24"/>
        </w:rPr>
        <w:t>在收到审计发票</w:t>
      </w:r>
      <w:r w:rsidR="00B4119A" w:rsidRPr="000305A7">
        <w:rPr>
          <w:rFonts w:ascii="Times New Roman" w:eastAsia="宋体" w:hAnsi="Times New Roman" w:hint="eastAsia"/>
          <w:szCs w:val="24"/>
        </w:rPr>
        <w:t>后支付</w:t>
      </w:r>
      <w:r w:rsidR="00E46390" w:rsidRPr="000305A7">
        <w:rPr>
          <w:rFonts w:ascii="Times New Roman" w:eastAsia="宋体" w:hAnsi="Times New Roman" w:hint="eastAsia"/>
          <w:szCs w:val="24"/>
        </w:rPr>
        <w:t>。</w:t>
      </w:r>
    </w:p>
    <w:p w14:paraId="4EAE71E2" w14:textId="77777777" w:rsidR="009E07FB" w:rsidRPr="000305A7" w:rsidRDefault="00BC5F7F"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4</w:t>
      </w:r>
      <w:r w:rsidRPr="000305A7">
        <w:rPr>
          <w:rFonts w:ascii="Times New Roman" w:eastAsia="宋体" w:hAnsi="Times New Roman" w:hint="eastAsia"/>
          <w:szCs w:val="24"/>
        </w:rPr>
        <w:t>、</w:t>
      </w:r>
      <w:r w:rsidR="009E07FB" w:rsidRPr="000305A7">
        <w:rPr>
          <w:rFonts w:ascii="Times New Roman" w:eastAsia="宋体" w:hAnsi="Times New Roman" w:hint="eastAsia"/>
          <w:szCs w:val="24"/>
        </w:rPr>
        <w:t>清算期间的清算损益情况</w:t>
      </w:r>
    </w:p>
    <w:p w14:paraId="1553B91B" w14:textId="77777777" w:rsidR="002E0821" w:rsidRPr="000305A7" w:rsidRDefault="002E0821" w:rsidP="002E0821">
      <w:pPr>
        <w:tabs>
          <w:tab w:val="left" w:pos="540"/>
        </w:tabs>
        <w:adjustRightInd w:val="0"/>
        <w:snapToGrid w:val="0"/>
        <w:spacing w:line="312" w:lineRule="auto"/>
        <w:jc w:val="right"/>
        <w:rPr>
          <w:rFonts w:ascii="Times New Roman" w:hAnsi="Times New Roman"/>
          <w:szCs w:val="21"/>
        </w:rPr>
      </w:pPr>
      <w:r w:rsidRPr="000305A7">
        <w:rPr>
          <w:rFonts w:ascii="Times New Roman" w:hAnsi="Times New Roman" w:hint="eastAsia"/>
          <w:szCs w:val="21"/>
        </w:rPr>
        <w:t>单位：人民币元</w:t>
      </w:r>
    </w:p>
    <w:tbl>
      <w:tblPr>
        <w:tblStyle w:val="aa"/>
        <w:tblW w:w="0" w:type="auto"/>
        <w:tblLook w:val="04A0" w:firstRow="1" w:lastRow="0" w:firstColumn="1" w:lastColumn="0" w:noHBand="0" w:noVBand="1"/>
      </w:tblPr>
      <w:tblGrid>
        <w:gridCol w:w="5872"/>
        <w:gridCol w:w="2424"/>
      </w:tblGrid>
      <w:tr w:rsidR="009E07FB" w:rsidRPr="000305A7" w14:paraId="4835DC45" w14:textId="77777777" w:rsidTr="00B269DC">
        <w:tc>
          <w:tcPr>
            <w:tcW w:w="5872" w:type="dxa"/>
            <w:vAlign w:val="center"/>
          </w:tcPr>
          <w:p w14:paraId="47F0F7A8" w14:textId="77777777" w:rsidR="009E07FB" w:rsidRPr="000305A7" w:rsidRDefault="009E07FB" w:rsidP="00B269DC">
            <w:pPr>
              <w:pStyle w:val="Default"/>
              <w:jc w:val="center"/>
              <w:rPr>
                <w:rFonts w:ascii="Times New Roman" w:eastAsiaTheme="minorEastAsia" w:hAnsi="Times New Roman" w:cstheme="minorBidi"/>
                <w:color w:val="auto"/>
                <w:kern w:val="2"/>
                <w:sz w:val="21"/>
                <w:szCs w:val="21"/>
              </w:rPr>
            </w:pPr>
          </w:p>
        </w:tc>
        <w:tc>
          <w:tcPr>
            <w:tcW w:w="2424" w:type="dxa"/>
          </w:tcPr>
          <w:p w14:paraId="0259C060" w14:textId="2E62C1CC" w:rsidR="009E07FB" w:rsidRPr="000305A7" w:rsidRDefault="009E07FB" w:rsidP="00DF7BC4">
            <w:pPr>
              <w:pStyle w:val="Default"/>
              <w:jc w:val="center"/>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自</w:t>
            </w:r>
            <w:r w:rsidRPr="000305A7">
              <w:rPr>
                <w:rFonts w:ascii="Times New Roman" w:eastAsiaTheme="minorEastAsia" w:hAnsi="Times New Roman" w:cstheme="minorBidi" w:hint="eastAsia"/>
                <w:color w:val="auto"/>
                <w:kern w:val="2"/>
                <w:sz w:val="21"/>
                <w:szCs w:val="21"/>
              </w:rPr>
              <w:t>2</w:t>
            </w:r>
            <w:r w:rsidRPr="000305A7">
              <w:rPr>
                <w:rFonts w:ascii="Times New Roman" w:eastAsiaTheme="minorEastAsia" w:hAnsi="Times New Roman" w:cstheme="minorBidi"/>
                <w:color w:val="auto"/>
                <w:kern w:val="2"/>
                <w:sz w:val="21"/>
                <w:szCs w:val="21"/>
              </w:rPr>
              <w:t>02</w:t>
            </w:r>
            <w:r w:rsidR="00E855D5" w:rsidRPr="000305A7">
              <w:rPr>
                <w:rFonts w:ascii="Times New Roman" w:eastAsiaTheme="minorEastAsia" w:hAnsi="Times New Roman" w:cstheme="minorBidi"/>
                <w:color w:val="auto"/>
                <w:kern w:val="2"/>
                <w:sz w:val="21"/>
                <w:szCs w:val="21"/>
              </w:rPr>
              <w:t>4</w:t>
            </w:r>
            <w:r w:rsidRPr="000305A7">
              <w:rPr>
                <w:rFonts w:ascii="Times New Roman" w:eastAsiaTheme="minorEastAsia" w:hAnsi="Times New Roman" w:cstheme="minorBidi" w:hint="eastAsia"/>
                <w:color w:val="auto"/>
                <w:kern w:val="2"/>
                <w:sz w:val="21"/>
                <w:szCs w:val="21"/>
              </w:rPr>
              <w:t>年</w:t>
            </w:r>
            <w:r w:rsidR="0040628A" w:rsidRPr="000305A7">
              <w:rPr>
                <w:rFonts w:ascii="Times New Roman" w:eastAsiaTheme="minorEastAsia" w:hAnsi="Times New Roman" w:cstheme="minorBidi"/>
                <w:color w:val="auto"/>
                <w:kern w:val="2"/>
                <w:sz w:val="21"/>
                <w:szCs w:val="21"/>
              </w:rPr>
              <w:t>11</w:t>
            </w:r>
            <w:r w:rsidRPr="000305A7">
              <w:rPr>
                <w:rFonts w:ascii="Times New Roman" w:eastAsiaTheme="minorEastAsia" w:hAnsi="Times New Roman" w:cstheme="minorBidi" w:hint="eastAsia"/>
                <w:color w:val="auto"/>
                <w:kern w:val="2"/>
                <w:sz w:val="21"/>
                <w:szCs w:val="21"/>
              </w:rPr>
              <w:t>月</w:t>
            </w:r>
            <w:r w:rsidR="0040628A" w:rsidRPr="000305A7">
              <w:rPr>
                <w:rFonts w:ascii="Times New Roman" w:eastAsiaTheme="minorEastAsia" w:hAnsi="Times New Roman" w:cstheme="minorBidi"/>
                <w:color w:val="auto"/>
                <w:kern w:val="2"/>
                <w:sz w:val="21"/>
                <w:szCs w:val="21"/>
              </w:rPr>
              <w:t>20</w:t>
            </w:r>
            <w:r w:rsidRPr="000305A7">
              <w:rPr>
                <w:rFonts w:ascii="Times New Roman" w:eastAsiaTheme="minorEastAsia" w:hAnsi="Times New Roman" w:cstheme="minorBidi" w:hint="eastAsia"/>
                <w:color w:val="auto"/>
                <w:kern w:val="2"/>
                <w:sz w:val="21"/>
                <w:szCs w:val="21"/>
              </w:rPr>
              <w:t>日至</w:t>
            </w:r>
            <w:r w:rsidRPr="001C72AF">
              <w:rPr>
                <w:rFonts w:ascii="Times New Roman" w:eastAsiaTheme="minorEastAsia" w:hAnsi="Times New Roman" w:cstheme="minorBidi" w:hint="eastAsia"/>
                <w:color w:val="auto"/>
                <w:kern w:val="2"/>
                <w:sz w:val="21"/>
                <w:szCs w:val="21"/>
              </w:rPr>
              <w:t>2</w:t>
            </w:r>
            <w:r w:rsidRPr="001C72AF">
              <w:rPr>
                <w:rFonts w:ascii="Times New Roman" w:eastAsiaTheme="minorEastAsia" w:hAnsi="Times New Roman" w:cstheme="minorBidi"/>
                <w:color w:val="auto"/>
                <w:kern w:val="2"/>
                <w:sz w:val="21"/>
                <w:szCs w:val="21"/>
              </w:rPr>
              <w:t>02</w:t>
            </w:r>
            <w:r w:rsidR="00E855D5" w:rsidRPr="001C72AF">
              <w:rPr>
                <w:rFonts w:ascii="Times New Roman" w:eastAsiaTheme="minorEastAsia" w:hAnsi="Times New Roman" w:cstheme="minorBidi"/>
                <w:color w:val="auto"/>
                <w:kern w:val="2"/>
                <w:sz w:val="21"/>
                <w:szCs w:val="21"/>
              </w:rPr>
              <w:t>4</w:t>
            </w:r>
            <w:r w:rsidRPr="001C72AF">
              <w:rPr>
                <w:rFonts w:ascii="Times New Roman" w:eastAsiaTheme="minorEastAsia" w:hAnsi="Times New Roman" w:cstheme="minorBidi" w:hint="eastAsia"/>
                <w:color w:val="auto"/>
                <w:kern w:val="2"/>
                <w:sz w:val="21"/>
                <w:szCs w:val="21"/>
              </w:rPr>
              <w:t>年</w:t>
            </w:r>
            <w:r w:rsidR="0040628A" w:rsidRPr="001C72AF">
              <w:rPr>
                <w:rFonts w:ascii="Times New Roman" w:eastAsiaTheme="minorEastAsia" w:hAnsi="Times New Roman" w:cstheme="minorBidi"/>
                <w:color w:val="auto"/>
                <w:kern w:val="2"/>
                <w:sz w:val="21"/>
                <w:szCs w:val="21"/>
              </w:rPr>
              <w:t>11</w:t>
            </w:r>
            <w:r w:rsidRPr="001C72AF">
              <w:rPr>
                <w:rFonts w:ascii="Times New Roman" w:eastAsiaTheme="minorEastAsia" w:hAnsi="Times New Roman" w:cstheme="minorBidi" w:hint="eastAsia"/>
                <w:color w:val="auto"/>
                <w:kern w:val="2"/>
                <w:sz w:val="21"/>
                <w:szCs w:val="21"/>
              </w:rPr>
              <w:t>月</w:t>
            </w:r>
            <w:r w:rsidR="00901F25" w:rsidRPr="001C72AF">
              <w:rPr>
                <w:rFonts w:ascii="Times New Roman" w:eastAsiaTheme="minorEastAsia" w:hAnsi="Times New Roman" w:cstheme="minorBidi"/>
                <w:color w:val="auto"/>
                <w:kern w:val="2"/>
                <w:sz w:val="21"/>
                <w:szCs w:val="21"/>
              </w:rPr>
              <w:t>2</w:t>
            </w:r>
            <w:r w:rsidR="00DF7BC4" w:rsidRPr="001C72AF">
              <w:rPr>
                <w:rFonts w:ascii="Times New Roman" w:eastAsiaTheme="minorEastAsia" w:hAnsi="Times New Roman" w:cstheme="minorBidi"/>
                <w:color w:val="auto"/>
                <w:kern w:val="2"/>
                <w:sz w:val="21"/>
                <w:szCs w:val="21"/>
              </w:rPr>
              <w:t>2</w:t>
            </w:r>
            <w:r w:rsidRPr="001C72AF">
              <w:rPr>
                <w:rFonts w:ascii="Times New Roman" w:eastAsiaTheme="minorEastAsia" w:hAnsi="Times New Roman" w:cstheme="minorBidi" w:hint="eastAsia"/>
                <w:color w:val="auto"/>
                <w:kern w:val="2"/>
                <w:sz w:val="21"/>
                <w:szCs w:val="21"/>
              </w:rPr>
              <w:t>日</w:t>
            </w:r>
            <w:r w:rsidRPr="000305A7">
              <w:rPr>
                <w:rFonts w:ascii="Times New Roman" w:eastAsiaTheme="minorEastAsia" w:hAnsi="Times New Roman" w:cstheme="minorBidi" w:hint="eastAsia"/>
                <w:color w:val="auto"/>
                <w:kern w:val="2"/>
                <w:sz w:val="21"/>
                <w:szCs w:val="21"/>
              </w:rPr>
              <w:t>的清算期间</w:t>
            </w:r>
          </w:p>
        </w:tc>
      </w:tr>
      <w:tr w:rsidR="009E07FB" w:rsidRPr="000305A7" w14:paraId="3ADDF3AD" w14:textId="77777777" w:rsidTr="00472FDF">
        <w:tc>
          <w:tcPr>
            <w:tcW w:w="5872" w:type="dxa"/>
          </w:tcPr>
          <w:p w14:paraId="55502227" w14:textId="77777777" w:rsidR="009E07FB" w:rsidRPr="000305A7" w:rsidRDefault="009E07FB" w:rsidP="006C7A68">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一、清算期间收益</w:t>
            </w:r>
          </w:p>
        </w:tc>
        <w:tc>
          <w:tcPr>
            <w:tcW w:w="2424" w:type="dxa"/>
          </w:tcPr>
          <w:p w14:paraId="7E3B0FE6" w14:textId="77777777" w:rsidR="009E07FB" w:rsidRPr="000305A7" w:rsidRDefault="009E07FB" w:rsidP="006C7A68">
            <w:pPr>
              <w:pStyle w:val="Default"/>
              <w:rPr>
                <w:rFonts w:ascii="Times New Roman" w:eastAsiaTheme="minorEastAsia" w:hAnsi="Times New Roman" w:cstheme="minorBidi"/>
                <w:color w:val="auto"/>
                <w:kern w:val="2"/>
                <w:sz w:val="21"/>
                <w:szCs w:val="21"/>
              </w:rPr>
            </w:pPr>
          </w:p>
        </w:tc>
      </w:tr>
      <w:tr w:rsidR="009E07FB" w:rsidRPr="000305A7" w14:paraId="56D67D73" w14:textId="77777777" w:rsidTr="00472FDF">
        <w:tc>
          <w:tcPr>
            <w:tcW w:w="5872" w:type="dxa"/>
          </w:tcPr>
          <w:p w14:paraId="6FD9F6E8" w14:textId="3E696D9C" w:rsidR="009E07FB" w:rsidRPr="000305A7" w:rsidRDefault="009E07FB" w:rsidP="0008356C">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1</w:t>
            </w:r>
            <w:r w:rsidR="00F23DAB" w:rsidRPr="000305A7">
              <w:rPr>
                <w:rFonts w:ascii="Times New Roman" w:eastAsiaTheme="minorEastAsia" w:hAnsi="Times New Roman" w:cstheme="minorBidi" w:hint="eastAsia"/>
                <w:color w:val="auto"/>
                <w:kern w:val="2"/>
                <w:sz w:val="21"/>
                <w:szCs w:val="21"/>
              </w:rPr>
              <w:t>、</w:t>
            </w:r>
            <w:r w:rsidRPr="000305A7">
              <w:rPr>
                <w:rFonts w:ascii="Times New Roman" w:eastAsiaTheme="minorEastAsia" w:hAnsi="Times New Roman" w:cstheme="minorBidi" w:hint="eastAsia"/>
                <w:color w:val="auto"/>
                <w:kern w:val="2"/>
                <w:sz w:val="21"/>
                <w:szCs w:val="21"/>
              </w:rPr>
              <w:t>利息收入</w:t>
            </w:r>
          </w:p>
        </w:tc>
        <w:tc>
          <w:tcPr>
            <w:tcW w:w="2424" w:type="dxa"/>
          </w:tcPr>
          <w:p w14:paraId="17E211ED" w14:textId="40BA5880" w:rsidR="009E07FB" w:rsidRPr="001C72AF" w:rsidRDefault="00635029" w:rsidP="009E07FB">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505.70</w:t>
            </w:r>
          </w:p>
        </w:tc>
      </w:tr>
      <w:tr w:rsidR="002B131B" w:rsidRPr="000305A7" w14:paraId="5A1BEC5C" w14:textId="77777777" w:rsidTr="00472FDF">
        <w:tc>
          <w:tcPr>
            <w:tcW w:w="5872" w:type="dxa"/>
          </w:tcPr>
          <w:p w14:paraId="50F68457" w14:textId="3F24677D" w:rsidR="002B131B" w:rsidRPr="000305A7" w:rsidRDefault="002B131B" w:rsidP="0008356C">
            <w:pPr>
              <w:pStyle w:val="Default"/>
              <w:ind w:firstLineChars="150" w:firstLine="315"/>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存款利息收入</w:t>
            </w:r>
            <w:r w:rsidR="0008356C" w:rsidRPr="000305A7">
              <w:rPr>
                <w:rFonts w:ascii="Times New Roman" w:eastAsiaTheme="minorEastAsia" w:hAnsi="Times New Roman" w:cstheme="minorBidi" w:hint="eastAsia"/>
                <w:color w:val="auto"/>
                <w:kern w:val="2"/>
                <w:sz w:val="21"/>
                <w:szCs w:val="21"/>
              </w:rPr>
              <w:t>（注</w:t>
            </w:r>
            <w:r w:rsidR="0008356C" w:rsidRPr="000305A7">
              <w:rPr>
                <w:rFonts w:ascii="Times New Roman" w:eastAsiaTheme="minorEastAsia" w:hAnsi="Times New Roman" w:cstheme="minorBidi"/>
                <w:color w:val="auto"/>
                <w:kern w:val="2"/>
                <w:sz w:val="21"/>
                <w:szCs w:val="21"/>
              </w:rPr>
              <w:t>1</w:t>
            </w:r>
            <w:r w:rsidR="0008356C" w:rsidRPr="000305A7">
              <w:rPr>
                <w:rFonts w:ascii="Times New Roman" w:eastAsiaTheme="minorEastAsia" w:hAnsi="Times New Roman" w:cstheme="minorBidi" w:hint="eastAsia"/>
                <w:color w:val="auto"/>
                <w:kern w:val="2"/>
                <w:sz w:val="21"/>
                <w:szCs w:val="21"/>
              </w:rPr>
              <w:t>）</w:t>
            </w:r>
          </w:p>
        </w:tc>
        <w:tc>
          <w:tcPr>
            <w:tcW w:w="2424" w:type="dxa"/>
          </w:tcPr>
          <w:p w14:paraId="1C3FE409" w14:textId="28989194" w:rsidR="002B131B" w:rsidRPr="001C72AF" w:rsidRDefault="00635029" w:rsidP="009E07FB">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505.70</w:t>
            </w:r>
          </w:p>
        </w:tc>
      </w:tr>
      <w:tr w:rsidR="009E07FB" w:rsidRPr="000305A7" w14:paraId="5F0ECE15" w14:textId="77777777" w:rsidTr="00472FDF">
        <w:tc>
          <w:tcPr>
            <w:tcW w:w="5872" w:type="dxa"/>
          </w:tcPr>
          <w:p w14:paraId="044DBE17" w14:textId="2ECAB9F2" w:rsidR="009E07FB" w:rsidRPr="000305A7" w:rsidRDefault="009E07FB" w:rsidP="009E07F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清算</w:t>
            </w:r>
            <w:r w:rsidR="001F0049" w:rsidRPr="000305A7">
              <w:rPr>
                <w:rFonts w:ascii="Times New Roman" w:eastAsiaTheme="minorEastAsia" w:hAnsi="Times New Roman" w:cstheme="minorBidi" w:hint="eastAsia"/>
                <w:color w:val="auto"/>
                <w:kern w:val="2"/>
                <w:sz w:val="21"/>
                <w:szCs w:val="21"/>
              </w:rPr>
              <w:t>收益</w:t>
            </w:r>
            <w:r w:rsidRPr="000305A7">
              <w:rPr>
                <w:rFonts w:ascii="Times New Roman" w:eastAsiaTheme="minorEastAsia" w:hAnsi="Times New Roman" w:cstheme="minorBidi" w:hint="eastAsia"/>
                <w:color w:val="auto"/>
                <w:kern w:val="2"/>
                <w:sz w:val="21"/>
                <w:szCs w:val="21"/>
              </w:rPr>
              <w:t>小计</w:t>
            </w:r>
            <w:r w:rsidRPr="000305A7">
              <w:rPr>
                <w:rFonts w:ascii="Times New Roman" w:eastAsiaTheme="minorEastAsia" w:hAnsi="Times New Roman" w:cstheme="minorBidi"/>
                <w:color w:val="auto"/>
                <w:kern w:val="2"/>
                <w:sz w:val="21"/>
                <w:szCs w:val="21"/>
              </w:rPr>
              <w:t xml:space="preserve"> </w:t>
            </w:r>
          </w:p>
        </w:tc>
        <w:tc>
          <w:tcPr>
            <w:tcW w:w="2424" w:type="dxa"/>
          </w:tcPr>
          <w:p w14:paraId="358233ED" w14:textId="6DB7E56F" w:rsidR="009E07FB" w:rsidRPr="001C72AF" w:rsidRDefault="00635029" w:rsidP="003A34CC">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505.70</w:t>
            </w:r>
          </w:p>
        </w:tc>
      </w:tr>
      <w:tr w:rsidR="009E07FB" w:rsidRPr="000305A7" w14:paraId="5837A671" w14:textId="77777777" w:rsidTr="00472FDF">
        <w:tc>
          <w:tcPr>
            <w:tcW w:w="5872" w:type="dxa"/>
          </w:tcPr>
          <w:p w14:paraId="5604E44D" w14:textId="77777777" w:rsidR="009E07FB" w:rsidRPr="000305A7" w:rsidRDefault="009E07FB" w:rsidP="009E07F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二、清算期间费用</w:t>
            </w:r>
          </w:p>
        </w:tc>
        <w:tc>
          <w:tcPr>
            <w:tcW w:w="2424" w:type="dxa"/>
          </w:tcPr>
          <w:p w14:paraId="14B754A9" w14:textId="77777777" w:rsidR="009E07FB" w:rsidRPr="000305A7" w:rsidRDefault="009E07FB" w:rsidP="009E07FB">
            <w:pPr>
              <w:pStyle w:val="Default"/>
              <w:jc w:val="right"/>
              <w:rPr>
                <w:rFonts w:ascii="Times New Roman" w:eastAsiaTheme="minorEastAsia" w:hAnsi="Times New Roman" w:cstheme="minorBidi"/>
                <w:color w:val="auto"/>
                <w:kern w:val="2"/>
                <w:sz w:val="21"/>
                <w:szCs w:val="21"/>
              </w:rPr>
            </w:pPr>
          </w:p>
        </w:tc>
      </w:tr>
      <w:tr w:rsidR="009E07FB" w:rsidRPr="000305A7" w14:paraId="1B417494" w14:textId="77777777" w:rsidTr="00472FDF">
        <w:tc>
          <w:tcPr>
            <w:tcW w:w="5872" w:type="dxa"/>
          </w:tcPr>
          <w:p w14:paraId="69F92F17" w14:textId="2091A2F1" w:rsidR="009E07FB" w:rsidRPr="000305A7" w:rsidRDefault="009E07FB" w:rsidP="00221694">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1</w:t>
            </w:r>
            <w:r w:rsidRPr="000305A7">
              <w:rPr>
                <w:rFonts w:ascii="Times New Roman" w:eastAsiaTheme="minorEastAsia" w:hAnsi="Times New Roman" w:cstheme="minorBidi" w:hint="eastAsia"/>
                <w:color w:val="auto"/>
                <w:kern w:val="2"/>
                <w:sz w:val="21"/>
                <w:szCs w:val="21"/>
              </w:rPr>
              <w:t>、</w:t>
            </w:r>
            <w:r w:rsidR="00F23DAB" w:rsidRPr="000305A7">
              <w:rPr>
                <w:rFonts w:ascii="Times New Roman" w:eastAsiaTheme="minorEastAsia" w:hAnsi="Times New Roman" w:cstheme="minorBidi" w:hint="eastAsia"/>
                <w:color w:val="auto"/>
                <w:kern w:val="2"/>
                <w:sz w:val="21"/>
                <w:szCs w:val="21"/>
              </w:rPr>
              <w:t>其他费用（注</w:t>
            </w:r>
            <w:r w:rsidR="00221694" w:rsidRPr="000305A7">
              <w:rPr>
                <w:rFonts w:ascii="Times New Roman" w:eastAsiaTheme="minorEastAsia" w:hAnsi="Times New Roman" w:cstheme="minorBidi"/>
                <w:color w:val="auto"/>
                <w:kern w:val="2"/>
                <w:sz w:val="21"/>
                <w:szCs w:val="21"/>
              </w:rPr>
              <w:t>2</w:t>
            </w:r>
            <w:r w:rsidR="00F23DAB" w:rsidRPr="000305A7">
              <w:rPr>
                <w:rFonts w:ascii="Times New Roman" w:eastAsiaTheme="minorEastAsia" w:hAnsi="Times New Roman" w:cstheme="minorBidi" w:hint="eastAsia"/>
                <w:color w:val="auto"/>
                <w:kern w:val="2"/>
                <w:sz w:val="21"/>
                <w:szCs w:val="21"/>
              </w:rPr>
              <w:t>）</w:t>
            </w:r>
          </w:p>
        </w:tc>
        <w:tc>
          <w:tcPr>
            <w:tcW w:w="2424" w:type="dxa"/>
          </w:tcPr>
          <w:p w14:paraId="179070BB" w14:textId="6A7ED95C" w:rsidR="009E07FB" w:rsidRPr="000305A7" w:rsidRDefault="007874F4" w:rsidP="00F4574B">
            <w:pPr>
              <w:pStyle w:val="Default"/>
              <w:jc w:val="right"/>
              <w:rPr>
                <w:rFonts w:ascii="Times New Roman" w:eastAsiaTheme="minorEastAsia" w:hAnsi="Times New Roman" w:cstheme="minorBidi"/>
                <w:color w:val="auto"/>
                <w:kern w:val="2"/>
                <w:sz w:val="21"/>
                <w:szCs w:val="21"/>
                <w:highlight w:val="yellow"/>
              </w:rPr>
            </w:pPr>
            <w:r w:rsidRPr="000305A7">
              <w:rPr>
                <w:rFonts w:ascii="Times New Roman" w:eastAsiaTheme="minorEastAsia" w:hAnsi="Times New Roman" w:cstheme="minorBidi"/>
                <w:color w:val="auto"/>
                <w:kern w:val="2"/>
                <w:sz w:val="21"/>
                <w:szCs w:val="21"/>
              </w:rPr>
              <w:t>285.00</w:t>
            </w:r>
          </w:p>
        </w:tc>
      </w:tr>
      <w:tr w:rsidR="009E07FB" w:rsidRPr="000305A7" w14:paraId="31C400DD" w14:textId="77777777" w:rsidTr="00472FDF">
        <w:tc>
          <w:tcPr>
            <w:tcW w:w="5872" w:type="dxa"/>
          </w:tcPr>
          <w:p w14:paraId="3921FF8C" w14:textId="77777777" w:rsidR="009E07FB" w:rsidRPr="000305A7" w:rsidRDefault="009E07FB" w:rsidP="009E07F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清算费用小计</w:t>
            </w:r>
          </w:p>
        </w:tc>
        <w:tc>
          <w:tcPr>
            <w:tcW w:w="2424" w:type="dxa"/>
          </w:tcPr>
          <w:p w14:paraId="68557706" w14:textId="2AA38634" w:rsidR="009E07FB" w:rsidRPr="000305A7" w:rsidRDefault="007874F4" w:rsidP="009E07FB">
            <w:pPr>
              <w:pStyle w:val="Default"/>
              <w:jc w:val="right"/>
              <w:rPr>
                <w:rFonts w:ascii="Times New Roman" w:eastAsiaTheme="minorEastAsia" w:hAnsi="Times New Roman" w:cstheme="minorBidi"/>
                <w:color w:val="auto"/>
                <w:kern w:val="2"/>
                <w:sz w:val="21"/>
                <w:szCs w:val="21"/>
                <w:highlight w:val="yellow"/>
              </w:rPr>
            </w:pPr>
            <w:r w:rsidRPr="000305A7">
              <w:rPr>
                <w:rFonts w:ascii="Times New Roman" w:eastAsiaTheme="minorEastAsia" w:hAnsi="Times New Roman" w:cstheme="minorBidi"/>
                <w:color w:val="auto"/>
                <w:kern w:val="2"/>
                <w:sz w:val="21"/>
                <w:szCs w:val="21"/>
              </w:rPr>
              <w:t>285.00</w:t>
            </w:r>
          </w:p>
        </w:tc>
      </w:tr>
      <w:tr w:rsidR="009E07FB" w:rsidRPr="000305A7" w14:paraId="0D7C7A84" w14:textId="77777777" w:rsidTr="00472FDF">
        <w:tc>
          <w:tcPr>
            <w:tcW w:w="5872" w:type="dxa"/>
          </w:tcPr>
          <w:p w14:paraId="4761F667" w14:textId="77777777" w:rsidR="009E07FB" w:rsidRPr="000305A7" w:rsidRDefault="009E07FB" w:rsidP="009E07F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三、清算净收益</w:t>
            </w:r>
            <w:r w:rsidRPr="000305A7">
              <w:rPr>
                <w:rFonts w:ascii="Times New Roman" w:eastAsiaTheme="minorEastAsia" w:hAnsi="Times New Roman" w:cstheme="minorBidi"/>
                <w:color w:val="auto"/>
                <w:kern w:val="2"/>
                <w:sz w:val="21"/>
                <w:szCs w:val="21"/>
              </w:rPr>
              <w:t xml:space="preserve"> </w:t>
            </w:r>
          </w:p>
        </w:tc>
        <w:tc>
          <w:tcPr>
            <w:tcW w:w="2424" w:type="dxa"/>
          </w:tcPr>
          <w:p w14:paraId="14369846" w14:textId="2A9C8171" w:rsidR="009E07FB" w:rsidRPr="001C72AF" w:rsidRDefault="00635029" w:rsidP="009E07FB">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220.70</w:t>
            </w:r>
          </w:p>
        </w:tc>
      </w:tr>
    </w:tbl>
    <w:p w14:paraId="79EEE6F1" w14:textId="1ACDA3B8" w:rsidR="00C73AD8" w:rsidRPr="000305A7" w:rsidRDefault="008F5330" w:rsidP="009D0A4F">
      <w:pPr>
        <w:adjustRightInd w:val="0"/>
        <w:snapToGrid w:val="0"/>
        <w:spacing w:line="312" w:lineRule="auto"/>
        <w:rPr>
          <w:rFonts w:ascii="Times New Roman" w:eastAsia="宋体" w:hAnsi="Times New Roman"/>
          <w:szCs w:val="24"/>
        </w:rPr>
      </w:pPr>
      <w:r w:rsidRPr="000305A7">
        <w:rPr>
          <w:rFonts w:ascii="Times New Roman" w:eastAsia="宋体" w:hAnsi="Times New Roman" w:hint="eastAsia"/>
          <w:szCs w:val="24"/>
        </w:rPr>
        <w:t>注</w:t>
      </w:r>
      <w:r w:rsidR="00C73AD8" w:rsidRPr="000305A7">
        <w:rPr>
          <w:rFonts w:ascii="Times New Roman" w:eastAsia="宋体" w:hAnsi="Times New Roman" w:hint="eastAsia"/>
          <w:szCs w:val="24"/>
        </w:rPr>
        <w:t>：</w:t>
      </w:r>
      <w:r w:rsidR="00413A70" w:rsidRPr="000305A7">
        <w:rPr>
          <w:rFonts w:ascii="Times New Roman" w:eastAsia="宋体" w:hAnsi="Times New Roman" w:hint="eastAsia"/>
          <w:szCs w:val="24"/>
        </w:rPr>
        <w:t>（</w:t>
      </w:r>
      <w:r w:rsidR="00C73AD8" w:rsidRPr="000305A7">
        <w:rPr>
          <w:rFonts w:ascii="Times New Roman" w:eastAsia="宋体" w:hAnsi="Times New Roman"/>
          <w:szCs w:val="24"/>
        </w:rPr>
        <w:t>1</w:t>
      </w:r>
      <w:r w:rsidR="00413A70" w:rsidRPr="000305A7">
        <w:rPr>
          <w:rFonts w:ascii="Times New Roman" w:eastAsia="宋体" w:hAnsi="Times New Roman" w:hint="eastAsia"/>
          <w:szCs w:val="24"/>
        </w:rPr>
        <w:t>）</w:t>
      </w:r>
      <w:r w:rsidR="0008356C" w:rsidRPr="000305A7">
        <w:rPr>
          <w:rFonts w:ascii="Times New Roman" w:eastAsia="宋体" w:hAnsi="Times New Roman" w:hint="eastAsia"/>
          <w:szCs w:val="24"/>
        </w:rPr>
        <w:t>存款</w:t>
      </w:r>
      <w:r w:rsidR="00CB3B5D" w:rsidRPr="000305A7">
        <w:rPr>
          <w:rFonts w:ascii="Times New Roman" w:eastAsia="宋体" w:hAnsi="Times New Roman" w:hint="eastAsia"/>
          <w:szCs w:val="24"/>
        </w:rPr>
        <w:t>利息收入系计提自</w:t>
      </w:r>
      <w:r w:rsidR="00CB3B5D" w:rsidRPr="000305A7">
        <w:rPr>
          <w:rFonts w:ascii="Times New Roman" w:eastAsia="宋体" w:hAnsi="Times New Roman" w:hint="eastAsia"/>
          <w:szCs w:val="24"/>
        </w:rPr>
        <w:t>20</w:t>
      </w:r>
      <w:r w:rsidR="00CB3B5D" w:rsidRPr="000305A7">
        <w:rPr>
          <w:rFonts w:ascii="Times New Roman" w:eastAsia="宋体" w:hAnsi="Times New Roman"/>
          <w:szCs w:val="24"/>
        </w:rPr>
        <w:t>2</w:t>
      </w:r>
      <w:r w:rsidR="00E855D5" w:rsidRPr="000305A7">
        <w:rPr>
          <w:rFonts w:ascii="Times New Roman" w:eastAsia="宋体" w:hAnsi="Times New Roman"/>
          <w:szCs w:val="24"/>
        </w:rPr>
        <w:t>4</w:t>
      </w:r>
      <w:r w:rsidR="00CB3B5D" w:rsidRPr="000305A7">
        <w:rPr>
          <w:rFonts w:ascii="Times New Roman" w:eastAsia="宋体" w:hAnsi="Times New Roman" w:hint="eastAsia"/>
          <w:szCs w:val="24"/>
        </w:rPr>
        <w:t>年</w:t>
      </w:r>
      <w:r w:rsidR="00221694" w:rsidRPr="000305A7">
        <w:rPr>
          <w:rFonts w:ascii="Times New Roman" w:eastAsia="宋体" w:hAnsi="Times New Roman"/>
          <w:szCs w:val="24"/>
        </w:rPr>
        <w:t>11</w:t>
      </w:r>
      <w:r w:rsidR="00CB3B5D" w:rsidRPr="000305A7">
        <w:rPr>
          <w:rFonts w:ascii="Times New Roman" w:eastAsia="宋体" w:hAnsi="Times New Roman" w:hint="eastAsia"/>
          <w:szCs w:val="24"/>
        </w:rPr>
        <w:t>月</w:t>
      </w:r>
      <w:r w:rsidR="00221694" w:rsidRPr="000305A7">
        <w:rPr>
          <w:rFonts w:ascii="Times New Roman" w:eastAsia="宋体" w:hAnsi="Times New Roman"/>
          <w:szCs w:val="24"/>
        </w:rPr>
        <w:t>20</w:t>
      </w:r>
      <w:r w:rsidR="00CB3B5D" w:rsidRPr="000305A7">
        <w:rPr>
          <w:rFonts w:ascii="Times New Roman" w:eastAsia="宋体" w:hAnsi="Times New Roman" w:hint="eastAsia"/>
          <w:szCs w:val="24"/>
        </w:rPr>
        <w:t>日至</w:t>
      </w:r>
      <w:r w:rsidR="00CB3B5D" w:rsidRPr="001C72AF">
        <w:rPr>
          <w:rFonts w:ascii="Times New Roman" w:eastAsia="宋体" w:hAnsi="Times New Roman" w:hint="eastAsia"/>
          <w:szCs w:val="24"/>
        </w:rPr>
        <w:t>20</w:t>
      </w:r>
      <w:r w:rsidR="00CB3B5D" w:rsidRPr="001C72AF">
        <w:rPr>
          <w:rFonts w:ascii="Times New Roman" w:eastAsia="宋体" w:hAnsi="Times New Roman"/>
          <w:szCs w:val="24"/>
        </w:rPr>
        <w:t>2</w:t>
      </w:r>
      <w:r w:rsidR="00E855D5" w:rsidRPr="001C72AF">
        <w:rPr>
          <w:rFonts w:ascii="Times New Roman" w:eastAsia="宋体" w:hAnsi="Times New Roman"/>
          <w:szCs w:val="24"/>
        </w:rPr>
        <w:t>4</w:t>
      </w:r>
      <w:r w:rsidR="00CB3B5D" w:rsidRPr="001C72AF">
        <w:rPr>
          <w:rFonts w:ascii="Times New Roman" w:eastAsia="宋体" w:hAnsi="Times New Roman" w:hint="eastAsia"/>
          <w:szCs w:val="24"/>
        </w:rPr>
        <w:t>年</w:t>
      </w:r>
      <w:r w:rsidR="00221694" w:rsidRPr="001C72AF">
        <w:rPr>
          <w:rFonts w:ascii="Times New Roman" w:eastAsia="宋体" w:hAnsi="Times New Roman"/>
          <w:szCs w:val="24"/>
        </w:rPr>
        <w:t>11</w:t>
      </w:r>
      <w:r w:rsidR="00CB3B5D" w:rsidRPr="001C72AF">
        <w:rPr>
          <w:rFonts w:ascii="Times New Roman" w:eastAsia="宋体" w:hAnsi="Times New Roman" w:hint="eastAsia"/>
          <w:szCs w:val="24"/>
        </w:rPr>
        <w:t>月</w:t>
      </w:r>
      <w:r w:rsidR="00DF7BC4" w:rsidRPr="001C72AF">
        <w:rPr>
          <w:rFonts w:ascii="Times New Roman" w:eastAsia="宋体" w:hAnsi="Times New Roman"/>
          <w:szCs w:val="24"/>
        </w:rPr>
        <w:t>22</w:t>
      </w:r>
      <w:r w:rsidR="00CB3B5D" w:rsidRPr="001C72AF">
        <w:rPr>
          <w:rFonts w:ascii="Times New Roman" w:eastAsia="宋体" w:hAnsi="Times New Roman" w:hint="eastAsia"/>
          <w:szCs w:val="24"/>
        </w:rPr>
        <w:t>日</w:t>
      </w:r>
      <w:proofErr w:type="gramStart"/>
      <w:r w:rsidR="00CB3B5D" w:rsidRPr="000305A7">
        <w:rPr>
          <w:rFonts w:ascii="Times New Roman" w:eastAsia="宋体" w:hAnsi="Times New Roman" w:hint="eastAsia"/>
          <w:szCs w:val="24"/>
        </w:rPr>
        <w:t>止</w:t>
      </w:r>
      <w:proofErr w:type="gramEnd"/>
      <w:r w:rsidR="00CB3B5D" w:rsidRPr="000305A7">
        <w:rPr>
          <w:rFonts w:ascii="Times New Roman" w:eastAsia="宋体" w:hAnsi="Times New Roman" w:hint="eastAsia"/>
          <w:szCs w:val="24"/>
        </w:rPr>
        <w:t>清算期间的银行存款</w:t>
      </w:r>
      <w:r w:rsidR="007848DE" w:rsidRPr="000305A7">
        <w:rPr>
          <w:rFonts w:ascii="Times New Roman" w:eastAsia="宋体" w:hAnsi="Times New Roman" w:hint="eastAsia"/>
          <w:szCs w:val="24"/>
        </w:rPr>
        <w:t>和</w:t>
      </w:r>
      <w:r w:rsidR="00E855D5" w:rsidRPr="000305A7">
        <w:rPr>
          <w:rFonts w:ascii="Times New Roman" w:eastAsia="宋体" w:hAnsi="Times New Roman" w:hint="eastAsia"/>
          <w:szCs w:val="24"/>
        </w:rPr>
        <w:t>存出保证金</w:t>
      </w:r>
      <w:r w:rsidR="00CB3B5D" w:rsidRPr="000305A7">
        <w:rPr>
          <w:rFonts w:ascii="Times New Roman" w:eastAsia="宋体" w:hAnsi="Times New Roman" w:hint="eastAsia"/>
          <w:szCs w:val="24"/>
        </w:rPr>
        <w:t>。</w:t>
      </w:r>
    </w:p>
    <w:p w14:paraId="1822FBAF" w14:textId="219FBD29" w:rsidR="00C73AD8" w:rsidRPr="000305A7" w:rsidRDefault="00413A70"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00221694" w:rsidRPr="000305A7">
        <w:rPr>
          <w:rFonts w:ascii="Times New Roman" w:eastAsia="宋体" w:hAnsi="Times New Roman"/>
          <w:szCs w:val="24"/>
        </w:rPr>
        <w:t>2</w:t>
      </w:r>
      <w:r w:rsidRPr="000305A7">
        <w:rPr>
          <w:rFonts w:ascii="Times New Roman" w:eastAsia="宋体" w:hAnsi="Times New Roman" w:hint="eastAsia"/>
          <w:szCs w:val="24"/>
        </w:rPr>
        <w:t>）</w:t>
      </w:r>
      <w:r w:rsidR="00B3351F" w:rsidRPr="000305A7">
        <w:rPr>
          <w:rFonts w:ascii="Times New Roman" w:eastAsia="宋体" w:hAnsi="Times New Roman" w:hint="eastAsia"/>
          <w:szCs w:val="24"/>
        </w:rPr>
        <w:t>其他费用系清算期间产生的</w:t>
      </w:r>
      <w:r w:rsidR="00CB2F30" w:rsidRPr="000305A7">
        <w:rPr>
          <w:rFonts w:ascii="Times New Roman" w:eastAsia="宋体" w:hAnsi="Times New Roman"/>
          <w:szCs w:val="24"/>
        </w:rPr>
        <w:t>银行汇划费</w:t>
      </w:r>
      <w:r w:rsidR="006C7A68" w:rsidRPr="000305A7">
        <w:rPr>
          <w:rFonts w:ascii="Times New Roman" w:eastAsia="宋体" w:hAnsi="Times New Roman" w:hint="eastAsia"/>
          <w:szCs w:val="24"/>
        </w:rPr>
        <w:t>。</w:t>
      </w:r>
    </w:p>
    <w:p w14:paraId="17C0FFD2" w14:textId="77777777" w:rsidR="00BC5F7F" w:rsidRPr="000305A7" w:rsidRDefault="009E07FB"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5</w:t>
      </w:r>
      <w:r w:rsidRPr="000305A7">
        <w:rPr>
          <w:rFonts w:ascii="Times New Roman" w:eastAsia="宋体" w:hAnsi="Times New Roman" w:hint="eastAsia"/>
          <w:szCs w:val="24"/>
        </w:rPr>
        <w:t>、资产处置及负债清偿后的剩余资产分配情况</w:t>
      </w:r>
    </w:p>
    <w:p w14:paraId="6222DECC" w14:textId="77777777" w:rsidR="000C71F4" w:rsidRPr="000305A7" w:rsidRDefault="000C71F4" w:rsidP="000C71F4">
      <w:pPr>
        <w:tabs>
          <w:tab w:val="left" w:pos="540"/>
        </w:tabs>
        <w:adjustRightInd w:val="0"/>
        <w:snapToGrid w:val="0"/>
        <w:spacing w:line="312" w:lineRule="auto"/>
        <w:jc w:val="right"/>
        <w:rPr>
          <w:rFonts w:ascii="Times New Roman" w:hAnsi="Times New Roman"/>
          <w:szCs w:val="21"/>
        </w:rPr>
      </w:pPr>
      <w:r w:rsidRPr="000305A7">
        <w:rPr>
          <w:rFonts w:ascii="Times New Roman" w:hAnsi="Times New Roman" w:hint="eastAsia"/>
          <w:szCs w:val="21"/>
        </w:rPr>
        <w:t>单位：人民币元</w:t>
      </w:r>
    </w:p>
    <w:tbl>
      <w:tblPr>
        <w:tblStyle w:val="aa"/>
        <w:tblW w:w="5000" w:type="pct"/>
        <w:tblLook w:val="04A0" w:firstRow="1" w:lastRow="0" w:firstColumn="1" w:lastColumn="0" w:noHBand="0" w:noVBand="1"/>
      </w:tblPr>
      <w:tblGrid>
        <w:gridCol w:w="5872"/>
        <w:gridCol w:w="2424"/>
      </w:tblGrid>
      <w:tr w:rsidR="00786BDF" w:rsidRPr="000305A7" w14:paraId="4FBB70E5" w14:textId="77777777" w:rsidTr="00135347">
        <w:tc>
          <w:tcPr>
            <w:tcW w:w="3539" w:type="pct"/>
          </w:tcPr>
          <w:p w14:paraId="6ECA2B32" w14:textId="77777777" w:rsidR="00786BDF" w:rsidRPr="000305A7" w:rsidRDefault="00786BDF" w:rsidP="00786BDF">
            <w:pPr>
              <w:pStyle w:val="Default"/>
              <w:jc w:val="center"/>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项目</w:t>
            </w:r>
          </w:p>
        </w:tc>
        <w:tc>
          <w:tcPr>
            <w:tcW w:w="1461" w:type="pct"/>
          </w:tcPr>
          <w:p w14:paraId="5CE81D5D" w14:textId="77777777" w:rsidR="00786BDF" w:rsidRPr="000305A7" w:rsidRDefault="00786BDF" w:rsidP="00786BDF">
            <w:pPr>
              <w:pStyle w:val="Default"/>
              <w:jc w:val="center"/>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金额</w:t>
            </w:r>
          </w:p>
        </w:tc>
      </w:tr>
      <w:tr w:rsidR="00786BDF" w:rsidRPr="000305A7" w14:paraId="0BB16AA5" w14:textId="77777777" w:rsidTr="00135347">
        <w:tc>
          <w:tcPr>
            <w:tcW w:w="3539" w:type="pct"/>
          </w:tcPr>
          <w:p w14:paraId="64E6E18C" w14:textId="7D8E9A71" w:rsidR="00786BDF" w:rsidRPr="000305A7" w:rsidRDefault="00786BDF" w:rsidP="00221694">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一、最后运作日</w:t>
            </w:r>
            <w:r w:rsidR="00927B1D" w:rsidRPr="000305A7">
              <w:rPr>
                <w:rFonts w:ascii="Times New Roman" w:eastAsiaTheme="minorEastAsia" w:hAnsi="Times New Roman" w:cstheme="minorBidi" w:hint="eastAsia"/>
                <w:color w:val="auto"/>
                <w:kern w:val="2"/>
                <w:sz w:val="21"/>
                <w:szCs w:val="21"/>
              </w:rPr>
              <w:t>20</w:t>
            </w:r>
            <w:r w:rsidR="00FE277C" w:rsidRPr="000305A7">
              <w:rPr>
                <w:rFonts w:ascii="Times New Roman" w:eastAsiaTheme="minorEastAsia" w:hAnsi="Times New Roman" w:cstheme="minorBidi"/>
                <w:color w:val="auto"/>
                <w:kern w:val="2"/>
                <w:sz w:val="21"/>
                <w:szCs w:val="21"/>
              </w:rPr>
              <w:t>2</w:t>
            </w:r>
            <w:r w:rsidR="002523AD" w:rsidRPr="000305A7">
              <w:rPr>
                <w:rFonts w:ascii="Times New Roman" w:eastAsiaTheme="minorEastAsia" w:hAnsi="Times New Roman" w:cstheme="minorBidi"/>
                <w:color w:val="auto"/>
                <w:kern w:val="2"/>
                <w:sz w:val="21"/>
                <w:szCs w:val="21"/>
              </w:rPr>
              <w:t>4</w:t>
            </w:r>
            <w:r w:rsidRPr="000305A7">
              <w:rPr>
                <w:rFonts w:ascii="Times New Roman" w:eastAsiaTheme="minorEastAsia" w:hAnsi="Times New Roman" w:cstheme="minorBidi" w:hint="eastAsia"/>
                <w:color w:val="auto"/>
                <w:kern w:val="2"/>
                <w:sz w:val="21"/>
                <w:szCs w:val="21"/>
              </w:rPr>
              <w:t>年</w:t>
            </w:r>
            <w:r w:rsidR="00221694" w:rsidRPr="000305A7">
              <w:rPr>
                <w:rFonts w:ascii="Times New Roman" w:eastAsiaTheme="minorEastAsia" w:hAnsi="Times New Roman" w:cstheme="minorBidi"/>
                <w:color w:val="auto"/>
                <w:kern w:val="2"/>
                <w:sz w:val="21"/>
                <w:szCs w:val="21"/>
              </w:rPr>
              <w:t>11</w:t>
            </w:r>
            <w:r w:rsidRPr="000305A7">
              <w:rPr>
                <w:rFonts w:ascii="Times New Roman" w:eastAsiaTheme="minorEastAsia" w:hAnsi="Times New Roman" w:cstheme="minorBidi" w:hint="eastAsia"/>
                <w:color w:val="auto"/>
                <w:kern w:val="2"/>
                <w:sz w:val="21"/>
                <w:szCs w:val="21"/>
              </w:rPr>
              <w:t>月</w:t>
            </w:r>
            <w:r w:rsidR="00221694" w:rsidRPr="000305A7">
              <w:rPr>
                <w:rFonts w:ascii="Times New Roman" w:eastAsiaTheme="minorEastAsia" w:hAnsi="Times New Roman" w:cstheme="minorBidi"/>
                <w:color w:val="auto"/>
                <w:kern w:val="2"/>
                <w:sz w:val="21"/>
                <w:szCs w:val="21"/>
              </w:rPr>
              <w:t>19</w:t>
            </w:r>
            <w:r w:rsidRPr="000305A7">
              <w:rPr>
                <w:rFonts w:ascii="Times New Roman" w:eastAsiaTheme="minorEastAsia" w:hAnsi="Times New Roman" w:cstheme="minorBidi" w:hint="eastAsia"/>
                <w:color w:val="auto"/>
                <w:kern w:val="2"/>
                <w:sz w:val="21"/>
                <w:szCs w:val="21"/>
              </w:rPr>
              <w:t>日基金净资产</w:t>
            </w:r>
          </w:p>
        </w:tc>
        <w:tc>
          <w:tcPr>
            <w:tcW w:w="1461" w:type="pct"/>
          </w:tcPr>
          <w:p w14:paraId="0867A855" w14:textId="20C890AA" w:rsidR="000C71F4" w:rsidRPr="000305A7" w:rsidRDefault="007874F4" w:rsidP="00F23DAB">
            <w:pPr>
              <w:pStyle w:val="Default"/>
              <w:jc w:val="righ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color w:val="auto"/>
                <w:kern w:val="2"/>
                <w:sz w:val="21"/>
                <w:szCs w:val="21"/>
              </w:rPr>
              <w:t>8,439,447.37</w:t>
            </w:r>
          </w:p>
        </w:tc>
      </w:tr>
      <w:tr w:rsidR="00786BDF" w:rsidRPr="000305A7" w14:paraId="521F5845" w14:textId="77777777" w:rsidTr="00135347">
        <w:tc>
          <w:tcPr>
            <w:tcW w:w="3539" w:type="pct"/>
          </w:tcPr>
          <w:p w14:paraId="30550466" w14:textId="4F4E9F41" w:rsidR="00786BDF" w:rsidRPr="000305A7" w:rsidRDefault="00786BDF" w:rsidP="00F23DA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加：清算期间</w:t>
            </w:r>
            <w:r w:rsidR="009E07FB" w:rsidRPr="000305A7">
              <w:rPr>
                <w:rFonts w:ascii="Times New Roman" w:eastAsiaTheme="minorEastAsia" w:hAnsi="Times New Roman" w:cstheme="minorBidi" w:hint="eastAsia"/>
                <w:color w:val="auto"/>
                <w:kern w:val="2"/>
                <w:sz w:val="21"/>
                <w:szCs w:val="21"/>
              </w:rPr>
              <w:t>净收益</w:t>
            </w:r>
            <w:r w:rsidR="00F23DAB" w:rsidRPr="000305A7">
              <w:rPr>
                <w:rFonts w:ascii="Times New Roman" w:eastAsiaTheme="minorEastAsia" w:hAnsi="Times New Roman" w:cstheme="minorBidi" w:hint="eastAsia"/>
                <w:color w:val="auto"/>
                <w:kern w:val="2"/>
                <w:sz w:val="21"/>
                <w:szCs w:val="21"/>
              </w:rPr>
              <w:t>（损失以“</w:t>
            </w:r>
            <w:r w:rsidR="00F23DAB" w:rsidRPr="000305A7">
              <w:rPr>
                <w:rFonts w:ascii="Times New Roman" w:eastAsiaTheme="minorEastAsia" w:hAnsi="Times New Roman" w:cstheme="minorBidi" w:hint="eastAsia"/>
                <w:color w:val="auto"/>
                <w:kern w:val="2"/>
                <w:sz w:val="21"/>
                <w:szCs w:val="21"/>
              </w:rPr>
              <w:t>-</w:t>
            </w:r>
            <w:r w:rsidR="00F23DAB" w:rsidRPr="000305A7">
              <w:rPr>
                <w:rFonts w:ascii="Times New Roman" w:eastAsiaTheme="minorEastAsia" w:hAnsi="Times New Roman" w:cstheme="minorBidi" w:hint="eastAsia"/>
                <w:color w:val="auto"/>
                <w:kern w:val="2"/>
                <w:sz w:val="21"/>
                <w:szCs w:val="21"/>
              </w:rPr>
              <w:t>”填列）</w:t>
            </w:r>
          </w:p>
        </w:tc>
        <w:tc>
          <w:tcPr>
            <w:tcW w:w="1461" w:type="pct"/>
          </w:tcPr>
          <w:p w14:paraId="48968955" w14:textId="7B4C9E40" w:rsidR="00786BDF" w:rsidRPr="001C72AF" w:rsidRDefault="00635029" w:rsidP="00CE65A1">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220.70</w:t>
            </w:r>
          </w:p>
        </w:tc>
      </w:tr>
      <w:tr w:rsidR="00772FD6" w:rsidRPr="000305A7" w14:paraId="23393251" w14:textId="77777777" w:rsidTr="00135347">
        <w:tc>
          <w:tcPr>
            <w:tcW w:w="3539" w:type="pct"/>
          </w:tcPr>
          <w:p w14:paraId="0D823D18" w14:textId="05A29815" w:rsidR="00772FD6" w:rsidRPr="000305A7" w:rsidRDefault="00772FD6" w:rsidP="00F23DAB">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减：基金净赎回转出金额</w:t>
            </w:r>
          </w:p>
        </w:tc>
        <w:tc>
          <w:tcPr>
            <w:tcW w:w="1461" w:type="pct"/>
          </w:tcPr>
          <w:p w14:paraId="586E86E0" w14:textId="0D4BDA7C" w:rsidR="00772FD6" w:rsidRPr="000305A7" w:rsidRDefault="007874F4" w:rsidP="00CE65A1">
            <w:pPr>
              <w:pStyle w:val="Default"/>
              <w:jc w:val="righ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w:t>
            </w:r>
          </w:p>
        </w:tc>
      </w:tr>
      <w:tr w:rsidR="00521EEB" w:rsidRPr="000305A7" w14:paraId="5445F61C" w14:textId="77777777" w:rsidTr="00135347">
        <w:tc>
          <w:tcPr>
            <w:tcW w:w="3539" w:type="pct"/>
          </w:tcPr>
          <w:p w14:paraId="2BEE84F2" w14:textId="42AF1C22" w:rsidR="00521EEB" w:rsidRPr="000305A7" w:rsidRDefault="00521EEB" w:rsidP="00DF7BC4">
            <w:pPr>
              <w:pStyle w:val="Default"/>
              <w:rPr>
                <w:rFonts w:ascii="Times New Roman" w:eastAsiaTheme="minorEastAsia" w:hAnsi="Times New Roman" w:cstheme="minorBidi"/>
                <w:color w:val="auto"/>
                <w:kern w:val="2"/>
                <w:sz w:val="21"/>
                <w:szCs w:val="21"/>
              </w:rPr>
            </w:pPr>
            <w:r w:rsidRPr="000305A7">
              <w:rPr>
                <w:rFonts w:ascii="Times New Roman" w:eastAsiaTheme="minorEastAsia" w:hAnsi="Times New Roman" w:cstheme="minorBidi" w:hint="eastAsia"/>
                <w:color w:val="auto"/>
                <w:kern w:val="2"/>
                <w:sz w:val="21"/>
                <w:szCs w:val="21"/>
              </w:rPr>
              <w:t>二、</w:t>
            </w:r>
            <w:r w:rsidR="00F23DAB" w:rsidRPr="000305A7">
              <w:rPr>
                <w:rFonts w:ascii="Times New Roman" w:eastAsiaTheme="minorEastAsia" w:hAnsi="Times New Roman" w:cstheme="minorBidi" w:hint="eastAsia"/>
                <w:color w:val="auto"/>
                <w:kern w:val="2"/>
                <w:sz w:val="21"/>
                <w:szCs w:val="21"/>
              </w:rPr>
              <w:t>清算结束日</w:t>
            </w:r>
            <w:r w:rsidRPr="000305A7">
              <w:rPr>
                <w:rFonts w:ascii="Times New Roman" w:eastAsiaTheme="minorEastAsia" w:hAnsi="Times New Roman" w:cstheme="minorBidi"/>
                <w:color w:val="auto"/>
                <w:kern w:val="2"/>
                <w:sz w:val="21"/>
                <w:szCs w:val="21"/>
              </w:rPr>
              <w:t>202</w:t>
            </w:r>
            <w:r w:rsidR="007F189B" w:rsidRPr="000305A7">
              <w:rPr>
                <w:rFonts w:ascii="Times New Roman" w:eastAsiaTheme="minorEastAsia" w:hAnsi="Times New Roman" w:cstheme="minorBidi"/>
                <w:color w:val="auto"/>
                <w:kern w:val="2"/>
                <w:sz w:val="21"/>
                <w:szCs w:val="21"/>
              </w:rPr>
              <w:t>4</w:t>
            </w:r>
            <w:r w:rsidRPr="000305A7">
              <w:rPr>
                <w:rFonts w:ascii="Times New Roman" w:eastAsiaTheme="minorEastAsia" w:hAnsi="Times New Roman" w:cstheme="minorBidi" w:hint="eastAsia"/>
                <w:color w:val="auto"/>
                <w:kern w:val="2"/>
                <w:sz w:val="21"/>
                <w:szCs w:val="21"/>
              </w:rPr>
              <w:t>年</w:t>
            </w:r>
            <w:r w:rsidR="00221694" w:rsidRPr="001C72AF">
              <w:rPr>
                <w:rFonts w:ascii="Times New Roman" w:eastAsiaTheme="minorEastAsia" w:hAnsi="Times New Roman" w:cstheme="minorBidi"/>
                <w:color w:val="auto"/>
                <w:kern w:val="2"/>
                <w:sz w:val="21"/>
                <w:szCs w:val="21"/>
              </w:rPr>
              <w:t>11</w:t>
            </w:r>
            <w:r w:rsidRPr="001C72AF">
              <w:rPr>
                <w:rFonts w:ascii="Times New Roman" w:eastAsiaTheme="minorEastAsia" w:hAnsi="Times New Roman" w:cstheme="minorBidi" w:hint="eastAsia"/>
                <w:color w:val="auto"/>
                <w:kern w:val="2"/>
                <w:sz w:val="21"/>
                <w:szCs w:val="21"/>
              </w:rPr>
              <w:t>月</w:t>
            </w:r>
            <w:r w:rsidR="00221694" w:rsidRPr="001C72AF">
              <w:rPr>
                <w:rFonts w:ascii="Times New Roman" w:eastAsiaTheme="minorEastAsia" w:hAnsi="Times New Roman" w:cstheme="minorBidi"/>
                <w:color w:val="auto"/>
                <w:kern w:val="2"/>
                <w:sz w:val="21"/>
                <w:szCs w:val="21"/>
              </w:rPr>
              <w:t>2</w:t>
            </w:r>
            <w:r w:rsidR="00DF7BC4" w:rsidRPr="001C72AF">
              <w:rPr>
                <w:rFonts w:ascii="Times New Roman" w:eastAsiaTheme="minorEastAsia" w:hAnsi="Times New Roman" w:cstheme="minorBidi"/>
                <w:color w:val="auto"/>
                <w:kern w:val="2"/>
                <w:sz w:val="21"/>
                <w:szCs w:val="21"/>
              </w:rPr>
              <w:t>2</w:t>
            </w:r>
            <w:r w:rsidRPr="001C72AF">
              <w:rPr>
                <w:rFonts w:ascii="Times New Roman" w:eastAsiaTheme="minorEastAsia" w:hAnsi="Times New Roman" w:cstheme="minorBidi" w:hint="eastAsia"/>
                <w:color w:val="auto"/>
                <w:kern w:val="2"/>
                <w:sz w:val="21"/>
                <w:szCs w:val="21"/>
              </w:rPr>
              <w:t>日基</w:t>
            </w:r>
            <w:r w:rsidRPr="000305A7">
              <w:rPr>
                <w:rFonts w:ascii="Times New Roman" w:eastAsiaTheme="minorEastAsia" w:hAnsi="Times New Roman" w:cstheme="minorBidi" w:hint="eastAsia"/>
                <w:color w:val="auto"/>
                <w:kern w:val="2"/>
                <w:sz w:val="21"/>
                <w:szCs w:val="21"/>
              </w:rPr>
              <w:t>金净资产</w:t>
            </w:r>
            <w:r w:rsidRPr="000305A7">
              <w:rPr>
                <w:rFonts w:ascii="Times New Roman" w:eastAsiaTheme="minorEastAsia" w:hAnsi="Times New Roman" w:cstheme="minorBidi"/>
                <w:color w:val="auto"/>
                <w:kern w:val="2"/>
                <w:sz w:val="21"/>
                <w:szCs w:val="21"/>
              </w:rPr>
              <w:t xml:space="preserve"> </w:t>
            </w:r>
          </w:p>
        </w:tc>
        <w:tc>
          <w:tcPr>
            <w:tcW w:w="1461" w:type="pct"/>
          </w:tcPr>
          <w:p w14:paraId="786EF8A6" w14:textId="3CFFD214" w:rsidR="00521EEB" w:rsidRPr="001C72AF" w:rsidRDefault="00635029" w:rsidP="00DF7BC4">
            <w:pPr>
              <w:pStyle w:val="Default"/>
              <w:jc w:val="right"/>
              <w:rPr>
                <w:rFonts w:ascii="Times New Roman" w:eastAsiaTheme="minorEastAsia" w:hAnsi="Times New Roman" w:cstheme="minorBidi"/>
                <w:color w:val="auto"/>
                <w:kern w:val="2"/>
                <w:sz w:val="21"/>
                <w:szCs w:val="21"/>
              </w:rPr>
            </w:pPr>
            <w:r w:rsidRPr="001C72AF">
              <w:rPr>
                <w:rFonts w:ascii="Times New Roman" w:eastAsiaTheme="minorEastAsia" w:hAnsi="Times New Roman" w:cstheme="minorBidi"/>
                <w:color w:val="auto"/>
                <w:kern w:val="2"/>
                <w:sz w:val="21"/>
                <w:szCs w:val="21"/>
              </w:rPr>
              <w:t>8,439,668.07</w:t>
            </w:r>
          </w:p>
        </w:tc>
      </w:tr>
    </w:tbl>
    <w:p w14:paraId="28D37E7A" w14:textId="199EA305" w:rsidR="00126AE6" w:rsidRPr="000305A7" w:rsidRDefault="00126AE6" w:rsidP="009D0A4F">
      <w:pPr>
        <w:adjustRightInd w:val="0"/>
        <w:snapToGrid w:val="0"/>
        <w:spacing w:line="312" w:lineRule="auto"/>
        <w:ind w:firstLineChars="200" w:firstLine="420"/>
        <w:rPr>
          <w:rFonts w:ascii="Times New Roman" w:eastAsia="宋体" w:hAnsi="Times New Roman"/>
          <w:szCs w:val="24"/>
        </w:rPr>
      </w:pPr>
    </w:p>
    <w:p w14:paraId="53704850" w14:textId="06FDEC24" w:rsidR="000C71F4" w:rsidRPr="000305A7" w:rsidRDefault="00236FA1"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截至</w:t>
      </w:r>
      <w:r w:rsidR="00770D64" w:rsidRPr="000305A7">
        <w:rPr>
          <w:rFonts w:ascii="Times New Roman" w:eastAsia="宋体" w:hAnsi="Times New Roman" w:hint="eastAsia"/>
          <w:szCs w:val="24"/>
        </w:rPr>
        <w:t>20</w:t>
      </w:r>
      <w:r w:rsidR="00FE277C" w:rsidRPr="000305A7">
        <w:rPr>
          <w:rFonts w:ascii="Times New Roman" w:eastAsia="宋体" w:hAnsi="Times New Roman"/>
          <w:szCs w:val="24"/>
        </w:rPr>
        <w:t>2</w:t>
      </w:r>
      <w:r w:rsidR="007F189B" w:rsidRPr="000305A7">
        <w:rPr>
          <w:rFonts w:ascii="Times New Roman" w:eastAsia="宋体" w:hAnsi="Times New Roman"/>
          <w:szCs w:val="24"/>
        </w:rPr>
        <w:t>4</w:t>
      </w:r>
      <w:r w:rsidRPr="000305A7">
        <w:rPr>
          <w:rFonts w:ascii="Times New Roman" w:eastAsia="宋体" w:hAnsi="Times New Roman" w:hint="eastAsia"/>
          <w:szCs w:val="24"/>
        </w:rPr>
        <w:t>年</w:t>
      </w:r>
      <w:r w:rsidR="00C422E0" w:rsidRPr="001C72AF">
        <w:rPr>
          <w:rFonts w:ascii="Times New Roman" w:eastAsia="宋体" w:hAnsi="Times New Roman"/>
          <w:szCs w:val="24"/>
        </w:rPr>
        <w:t>11</w:t>
      </w:r>
      <w:r w:rsidRPr="001C72AF">
        <w:rPr>
          <w:rFonts w:ascii="Times New Roman" w:eastAsia="宋体" w:hAnsi="Times New Roman" w:hint="eastAsia"/>
          <w:szCs w:val="24"/>
        </w:rPr>
        <w:t>月</w:t>
      </w:r>
      <w:r w:rsidR="00C422E0" w:rsidRPr="001C72AF">
        <w:rPr>
          <w:rFonts w:ascii="Times New Roman" w:eastAsia="宋体" w:hAnsi="Times New Roman"/>
          <w:szCs w:val="24"/>
        </w:rPr>
        <w:t>2</w:t>
      </w:r>
      <w:r w:rsidR="00DF7BC4" w:rsidRPr="001C72AF">
        <w:rPr>
          <w:rFonts w:ascii="Times New Roman" w:eastAsia="宋体" w:hAnsi="Times New Roman"/>
          <w:szCs w:val="24"/>
        </w:rPr>
        <w:t>2</w:t>
      </w:r>
      <w:r w:rsidRPr="001C72AF">
        <w:rPr>
          <w:rFonts w:ascii="Times New Roman" w:eastAsia="宋体" w:hAnsi="Times New Roman" w:hint="eastAsia"/>
          <w:szCs w:val="24"/>
        </w:rPr>
        <w:t>日</w:t>
      </w:r>
      <w:r w:rsidRPr="000305A7">
        <w:rPr>
          <w:rFonts w:ascii="Times New Roman" w:eastAsia="宋体" w:hAnsi="Times New Roman" w:hint="eastAsia"/>
          <w:szCs w:val="24"/>
        </w:rPr>
        <w:t>，</w:t>
      </w:r>
      <w:r w:rsidR="00D41CF4" w:rsidRPr="000305A7">
        <w:rPr>
          <w:rFonts w:ascii="Times New Roman" w:eastAsia="宋体" w:hAnsi="Times New Roman" w:hint="eastAsia"/>
          <w:szCs w:val="24"/>
        </w:rPr>
        <w:t>本基金剩余净资产为</w:t>
      </w:r>
      <w:r w:rsidR="00635029" w:rsidRPr="001C72AF">
        <w:rPr>
          <w:rFonts w:ascii="Times New Roman" w:eastAsia="宋体" w:hAnsi="Times New Roman"/>
          <w:szCs w:val="24"/>
        </w:rPr>
        <w:t>8,439,668.07</w:t>
      </w:r>
      <w:r w:rsidR="00D41CF4" w:rsidRPr="000305A7">
        <w:rPr>
          <w:rFonts w:ascii="Times New Roman" w:eastAsia="宋体" w:hAnsi="Times New Roman" w:hint="eastAsia"/>
          <w:szCs w:val="24"/>
        </w:rPr>
        <w:t>元，其中</w:t>
      </w:r>
      <w:proofErr w:type="gramStart"/>
      <w:r w:rsidR="002B2957" w:rsidRPr="000305A7">
        <w:rPr>
          <w:rFonts w:ascii="Times New Roman" w:eastAsia="宋体" w:hAnsi="Times New Roman" w:hint="eastAsia"/>
          <w:szCs w:val="24"/>
        </w:rPr>
        <w:t>万家瑞</w:t>
      </w:r>
      <w:r w:rsidR="007874F4" w:rsidRPr="000305A7">
        <w:rPr>
          <w:rFonts w:ascii="Times New Roman" w:eastAsia="宋体" w:hAnsi="Times New Roman" w:hint="eastAsia"/>
          <w:szCs w:val="24"/>
        </w:rPr>
        <w:t>尧</w:t>
      </w:r>
      <w:r w:rsidR="002B2957" w:rsidRPr="000305A7">
        <w:rPr>
          <w:rFonts w:ascii="Times New Roman" w:eastAsia="宋体" w:hAnsi="Times New Roman" w:hint="eastAsia"/>
          <w:szCs w:val="24"/>
        </w:rPr>
        <w:t>灵活</w:t>
      </w:r>
      <w:proofErr w:type="gramEnd"/>
      <w:r w:rsidR="002B2957" w:rsidRPr="000305A7">
        <w:rPr>
          <w:rFonts w:ascii="Times New Roman" w:eastAsia="宋体" w:hAnsi="Times New Roman" w:hint="eastAsia"/>
          <w:szCs w:val="24"/>
        </w:rPr>
        <w:t>配置混合</w:t>
      </w:r>
      <w:r w:rsidR="002B2957" w:rsidRPr="000305A7">
        <w:rPr>
          <w:rFonts w:ascii="Times New Roman" w:eastAsia="宋体" w:hAnsi="Times New Roman" w:hint="eastAsia"/>
          <w:szCs w:val="24"/>
        </w:rPr>
        <w:t>A</w:t>
      </w:r>
      <w:r w:rsidRPr="000305A7">
        <w:rPr>
          <w:rFonts w:ascii="Times New Roman" w:eastAsia="宋体" w:hAnsi="Times New Roman" w:hint="eastAsia"/>
          <w:szCs w:val="24"/>
        </w:rPr>
        <w:t>基金资产净值</w:t>
      </w:r>
      <w:r w:rsidR="00D41CF4" w:rsidRPr="000305A7">
        <w:rPr>
          <w:rFonts w:ascii="Times New Roman" w:eastAsia="宋体" w:hAnsi="Times New Roman" w:hint="eastAsia"/>
          <w:szCs w:val="24"/>
        </w:rPr>
        <w:t>为</w:t>
      </w:r>
      <w:r w:rsidR="00635029" w:rsidRPr="001C72AF">
        <w:rPr>
          <w:rFonts w:ascii="Times New Roman" w:eastAsia="宋体" w:hAnsi="Times New Roman"/>
          <w:szCs w:val="24"/>
        </w:rPr>
        <w:t>7,754,786.44</w:t>
      </w:r>
      <w:r w:rsidR="001F14DA" w:rsidRPr="000305A7">
        <w:rPr>
          <w:rFonts w:ascii="Times New Roman" w:eastAsia="宋体" w:hAnsi="Times New Roman" w:hint="eastAsia"/>
          <w:szCs w:val="24"/>
        </w:rPr>
        <w:t>元，</w:t>
      </w:r>
      <w:proofErr w:type="gramStart"/>
      <w:r w:rsidR="002B2957" w:rsidRPr="000305A7">
        <w:rPr>
          <w:rFonts w:ascii="Times New Roman" w:eastAsia="宋体" w:hAnsi="Times New Roman" w:hint="eastAsia"/>
          <w:szCs w:val="24"/>
        </w:rPr>
        <w:t>万家瑞</w:t>
      </w:r>
      <w:r w:rsidR="007874F4" w:rsidRPr="000305A7">
        <w:rPr>
          <w:rFonts w:ascii="Times New Roman" w:eastAsia="宋体" w:hAnsi="Times New Roman" w:hint="eastAsia"/>
          <w:szCs w:val="24"/>
        </w:rPr>
        <w:t>尧</w:t>
      </w:r>
      <w:r w:rsidR="002B2957" w:rsidRPr="000305A7">
        <w:rPr>
          <w:rFonts w:ascii="Times New Roman" w:eastAsia="宋体" w:hAnsi="Times New Roman" w:hint="eastAsia"/>
          <w:szCs w:val="24"/>
        </w:rPr>
        <w:t>灵活</w:t>
      </w:r>
      <w:proofErr w:type="gramEnd"/>
      <w:r w:rsidR="002B2957" w:rsidRPr="000305A7">
        <w:rPr>
          <w:rFonts w:ascii="Times New Roman" w:eastAsia="宋体" w:hAnsi="Times New Roman" w:hint="eastAsia"/>
          <w:szCs w:val="24"/>
        </w:rPr>
        <w:t>配置混合</w:t>
      </w:r>
      <w:r w:rsidR="001F14DA" w:rsidRPr="000305A7">
        <w:rPr>
          <w:rFonts w:ascii="Times New Roman" w:eastAsia="宋体" w:hAnsi="Times New Roman" w:hint="eastAsia"/>
          <w:szCs w:val="24"/>
        </w:rPr>
        <w:t>C</w:t>
      </w:r>
      <w:r w:rsidR="001F14DA" w:rsidRPr="000305A7">
        <w:rPr>
          <w:rFonts w:ascii="Times New Roman" w:eastAsia="宋体" w:hAnsi="Times New Roman" w:hint="eastAsia"/>
          <w:szCs w:val="24"/>
        </w:rPr>
        <w:t>基金资产净值</w:t>
      </w:r>
      <w:r w:rsidR="00D41CF4" w:rsidRPr="000305A7">
        <w:rPr>
          <w:rFonts w:ascii="Times New Roman" w:eastAsia="宋体" w:hAnsi="Times New Roman" w:hint="eastAsia"/>
          <w:szCs w:val="24"/>
        </w:rPr>
        <w:t>为</w:t>
      </w:r>
      <w:r w:rsidR="00635029" w:rsidRPr="001C72AF">
        <w:rPr>
          <w:rFonts w:ascii="Times New Roman" w:eastAsia="宋体" w:hAnsi="Times New Roman"/>
          <w:szCs w:val="24"/>
        </w:rPr>
        <w:t>684,881.63</w:t>
      </w:r>
      <w:r w:rsidR="001F14DA" w:rsidRPr="000305A7">
        <w:rPr>
          <w:rFonts w:ascii="Times New Roman" w:eastAsia="宋体" w:hAnsi="Times New Roman" w:hint="eastAsia"/>
          <w:szCs w:val="24"/>
        </w:rPr>
        <w:t>元。</w:t>
      </w:r>
      <w:r w:rsidR="00560098" w:rsidRPr="000305A7">
        <w:rPr>
          <w:rFonts w:ascii="Times New Roman" w:eastAsia="宋体" w:hAnsi="Times New Roman" w:hint="eastAsia"/>
          <w:szCs w:val="24"/>
        </w:rPr>
        <w:t>资产处置及负债清偿后，将根据本基金的《基金合同》约定，依据基金财产清算的分配方案，按基金份额持有人持有的基金份额比例进行分配。</w:t>
      </w:r>
    </w:p>
    <w:p w14:paraId="1593098B" w14:textId="178D523A" w:rsidR="0022663B" w:rsidRPr="000305A7" w:rsidRDefault="00013584"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20</w:t>
      </w:r>
      <w:r w:rsidRPr="000305A7">
        <w:rPr>
          <w:rFonts w:ascii="Times New Roman" w:eastAsia="宋体" w:hAnsi="Times New Roman"/>
          <w:szCs w:val="24"/>
        </w:rPr>
        <w:t>2</w:t>
      </w:r>
      <w:r w:rsidR="00CB2F30" w:rsidRPr="000305A7">
        <w:rPr>
          <w:rFonts w:ascii="Times New Roman" w:eastAsia="宋体" w:hAnsi="Times New Roman" w:hint="eastAsia"/>
          <w:szCs w:val="24"/>
        </w:rPr>
        <w:t>4</w:t>
      </w:r>
      <w:r w:rsidR="000C71F4" w:rsidRPr="000305A7">
        <w:rPr>
          <w:rFonts w:ascii="Times New Roman" w:eastAsia="宋体" w:hAnsi="Times New Roman" w:hint="eastAsia"/>
          <w:szCs w:val="24"/>
        </w:rPr>
        <w:t>年</w:t>
      </w:r>
      <w:r w:rsidR="007874F4" w:rsidRPr="001C72AF">
        <w:rPr>
          <w:rFonts w:ascii="Times New Roman" w:eastAsia="宋体" w:hAnsi="Times New Roman"/>
          <w:szCs w:val="24"/>
        </w:rPr>
        <w:t>11</w:t>
      </w:r>
      <w:r w:rsidR="000C71F4" w:rsidRPr="001C72AF">
        <w:rPr>
          <w:rFonts w:ascii="Times New Roman" w:eastAsia="宋体" w:hAnsi="Times New Roman" w:hint="eastAsia"/>
          <w:szCs w:val="24"/>
        </w:rPr>
        <w:t>月</w:t>
      </w:r>
      <w:r w:rsidR="007874F4" w:rsidRPr="001C72AF">
        <w:rPr>
          <w:rFonts w:ascii="Times New Roman" w:eastAsia="宋体" w:hAnsi="Times New Roman"/>
          <w:szCs w:val="24"/>
        </w:rPr>
        <w:t>2</w:t>
      </w:r>
      <w:r w:rsidR="00DF7BC4" w:rsidRPr="001C72AF">
        <w:rPr>
          <w:rFonts w:ascii="Times New Roman" w:eastAsia="宋体" w:hAnsi="Times New Roman"/>
          <w:szCs w:val="24"/>
        </w:rPr>
        <w:t>3</w:t>
      </w:r>
      <w:r w:rsidR="000C71F4" w:rsidRPr="001C72AF">
        <w:rPr>
          <w:rFonts w:ascii="Times New Roman" w:eastAsia="宋体" w:hAnsi="Times New Roman" w:hint="eastAsia"/>
          <w:szCs w:val="24"/>
        </w:rPr>
        <w:t>日</w:t>
      </w:r>
      <w:r w:rsidR="000C71F4" w:rsidRPr="000305A7">
        <w:rPr>
          <w:rFonts w:ascii="Times New Roman" w:eastAsia="宋体" w:hAnsi="Times New Roman" w:hint="eastAsia"/>
          <w:szCs w:val="24"/>
        </w:rPr>
        <w:t>至</w:t>
      </w:r>
      <w:proofErr w:type="gramStart"/>
      <w:r w:rsidR="000C71F4" w:rsidRPr="000305A7">
        <w:rPr>
          <w:rFonts w:ascii="Times New Roman" w:eastAsia="宋体" w:hAnsi="Times New Roman" w:hint="eastAsia"/>
          <w:szCs w:val="24"/>
        </w:rPr>
        <w:t>清算款</w:t>
      </w:r>
      <w:proofErr w:type="gramEnd"/>
      <w:r w:rsidR="000C71F4" w:rsidRPr="000305A7">
        <w:rPr>
          <w:rFonts w:ascii="Times New Roman" w:eastAsia="宋体" w:hAnsi="Times New Roman" w:hint="eastAsia"/>
          <w:szCs w:val="24"/>
        </w:rPr>
        <w:t>划出日前一日的银行存款</w:t>
      </w:r>
      <w:r w:rsidR="004D3C3D" w:rsidRPr="000305A7">
        <w:rPr>
          <w:rFonts w:ascii="Times New Roman" w:eastAsia="宋体" w:hAnsi="Times New Roman"/>
          <w:szCs w:val="24"/>
        </w:rPr>
        <w:t>和存出保证金</w:t>
      </w:r>
      <w:r w:rsidR="000C71F4" w:rsidRPr="000305A7">
        <w:rPr>
          <w:rFonts w:ascii="Times New Roman" w:eastAsia="宋体" w:hAnsi="Times New Roman" w:hint="eastAsia"/>
          <w:szCs w:val="24"/>
        </w:rPr>
        <w:t>产生的利息</w:t>
      </w:r>
      <w:proofErr w:type="gramStart"/>
      <w:r w:rsidR="00787B02" w:rsidRPr="000305A7">
        <w:rPr>
          <w:rFonts w:ascii="Times New Roman" w:eastAsia="宋体" w:hAnsi="Times New Roman" w:hint="eastAsia"/>
          <w:szCs w:val="24"/>
        </w:rPr>
        <w:t>归</w:t>
      </w:r>
      <w:r w:rsidR="003A08BF" w:rsidRPr="000305A7">
        <w:rPr>
          <w:rFonts w:ascii="Times New Roman" w:eastAsia="宋体" w:hAnsi="Times New Roman" w:hint="eastAsia"/>
          <w:szCs w:val="24"/>
        </w:rPr>
        <w:t>基金</w:t>
      </w:r>
      <w:proofErr w:type="gramEnd"/>
      <w:r w:rsidR="000C71F4" w:rsidRPr="000305A7">
        <w:rPr>
          <w:rFonts w:ascii="Times New Roman" w:eastAsia="宋体" w:hAnsi="Times New Roman" w:hint="eastAsia"/>
          <w:szCs w:val="24"/>
        </w:rPr>
        <w:t>份额持有人所有。为保护基金份额持有人利益，加快清盘速度，基金管理人万家基金管理有</w:t>
      </w:r>
      <w:r w:rsidR="000C71F4" w:rsidRPr="000305A7">
        <w:rPr>
          <w:rFonts w:ascii="Times New Roman" w:eastAsia="宋体" w:hAnsi="Times New Roman" w:hint="eastAsia"/>
          <w:szCs w:val="24"/>
        </w:rPr>
        <w:lastRenderedPageBreak/>
        <w:t>限公司将以自有资金先行垫付该笔款项（该金额可能与实际结息金额存在略微差异），供清盘分配使用。</w:t>
      </w:r>
      <w:r w:rsidR="00787B02" w:rsidRPr="000305A7">
        <w:rPr>
          <w:rFonts w:ascii="Times New Roman" w:eastAsia="宋体" w:hAnsi="Times New Roman" w:hint="eastAsia"/>
          <w:szCs w:val="24"/>
        </w:rPr>
        <w:t>基金管理人垫付的资金以及垫付资金到账日起孳生的利息将于清算期后返还给基金管理人。</w:t>
      </w:r>
    </w:p>
    <w:p w14:paraId="28D6F7B9" w14:textId="77777777" w:rsidR="00A3748E" w:rsidRPr="000305A7" w:rsidRDefault="009E07FB"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szCs w:val="24"/>
        </w:rPr>
        <w:t>6</w:t>
      </w:r>
      <w:r w:rsidR="00A3748E" w:rsidRPr="000305A7">
        <w:rPr>
          <w:rFonts w:ascii="Times New Roman" w:eastAsia="宋体" w:hAnsi="Times New Roman" w:hint="eastAsia"/>
          <w:szCs w:val="24"/>
        </w:rPr>
        <w:t>、基金财产清算报告的告知安排</w:t>
      </w:r>
    </w:p>
    <w:p w14:paraId="077CD0B0" w14:textId="4B7C8A27" w:rsidR="00A3748E" w:rsidRPr="000305A7" w:rsidRDefault="00A3748E" w:rsidP="007874F4">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本清算报告已经基金托管人复核，在经会计师事务所审计、律师事务所出具法律意见书后，报中国证监会备案并向基金份额持有人公告。</w:t>
      </w:r>
    </w:p>
    <w:p w14:paraId="5A5EB193" w14:textId="77777777" w:rsidR="000C71F4" w:rsidRPr="000305A7" w:rsidRDefault="000C71F4" w:rsidP="009D0A4F">
      <w:pPr>
        <w:adjustRightInd w:val="0"/>
        <w:snapToGrid w:val="0"/>
        <w:spacing w:line="312" w:lineRule="auto"/>
        <w:ind w:firstLineChars="200" w:firstLine="420"/>
        <w:rPr>
          <w:rFonts w:ascii="Times New Roman" w:eastAsia="宋体" w:hAnsi="Times New Roman"/>
          <w:szCs w:val="24"/>
        </w:rPr>
      </w:pPr>
    </w:p>
    <w:p w14:paraId="7DCF32BC" w14:textId="77777777" w:rsidR="00A3748E" w:rsidRPr="000305A7" w:rsidRDefault="00A3748E" w:rsidP="00192D9B">
      <w:pPr>
        <w:tabs>
          <w:tab w:val="left" w:pos="540"/>
        </w:tabs>
        <w:adjustRightInd w:val="0"/>
        <w:snapToGrid w:val="0"/>
        <w:spacing w:line="480" w:lineRule="auto"/>
        <w:jc w:val="center"/>
        <w:rPr>
          <w:rFonts w:ascii="Times New Roman" w:eastAsia="宋体" w:hAnsi="Times New Roman"/>
          <w:b/>
          <w:sz w:val="24"/>
        </w:rPr>
      </w:pPr>
      <w:r w:rsidRPr="000305A7">
        <w:rPr>
          <w:rFonts w:ascii="Times New Roman" w:eastAsia="宋体" w:hAnsi="Times New Roman" w:hint="eastAsia"/>
          <w:b/>
          <w:sz w:val="24"/>
        </w:rPr>
        <w:t>六、备查文件</w:t>
      </w:r>
    </w:p>
    <w:p w14:paraId="10DA4A70" w14:textId="77777777"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1</w:t>
      </w:r>
      <w:r w:rsidRPr="000305A7">
        <w:rPr>
          <w:rFonts w:ascii="Times New Roman" w:eastAsia="宋体" w:hAnsi="Times New Roman" w:hint="eastAsia"/>
          <w:szCs w:val="24"/>
        </w:rPr>
        <w:t>、备查文件目录</w:t>
      </w:r>
    </w:p>
    <w:p w14:paraId="21667325" w14:textId="6603B4F6" w:rsidR="00014E55"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1</w:t>
      </w:r>
      <w:r w:rsidRPr="000305A7">
        <w:rPr>
          <w:rFonts w:ascii="Times New Roman" w:eastAsia="宋体" w:hAnsi="Times New Roman" w:hint="eastAsia"/>
          <w:szCs w:val="24"/>
        </w:rPr>
        <w:t>）</w:t>
      </w:r>
      <w:r w:rsidR="00014E55" w:rsidRPr="000305A7">
        <w:rPr>
          <w:rFonts w:ascii="Times New Roman" w:eastAsia="宋体" w:hAnsi="Times New Roman" w:hint="eastAsia"/>
          <w:szCs w:val="24"/>
        </w:rPr>
        <w:t>《</w:t>
      </w:r>
      <w:r w:rsidR="007F189B" w:rsidRPr="000305A7">
        <w:rPr>
          <w:rFonts w:ascii="Times New Roman" w:eastAsia="宋体" w:hAnsi="Times New Roman" w:hint="eastAsia"/>
          <w:szCs w:val="24"/>
        </w:rPr>
        <w:t>万家</w:t>
      </w:r>
      <w:r w:rsidR="00826B58" w:rsidRPr="000305A7">
        <w:rPr>
          <w:rFonts w:ascii="Times New Roman" w:eastAsia="宋体" w:hAnsi="Times New Roman" w:hint="eastAsia"/>
          <w:szCs w:val="24"/>
        </w:rPr>
        <w:t>瑞尧</w:t>
      </w:r>
      <w:r w:rsidR="007F189B" w:rsidRPr="000305A7">
        <w:rPr>
          <w:rFonts w:ascii="Times New Roman" w:eastAsia="宋体" w:hAnsi="Times New Roman" w:hint="eastAsia"/>
          <w:szCs w:val="24"/>
        </w:rPr>
        <w:t>灵活配置混合型证券投资基金</w:t>
      </w:r>
      <w:r w:rsidR="00C21E3D" w:rsidRPr="000305A7">
        <w:rPr>
          <w:rFonts w:ascii="Times New Roman" w:eastAsia="宋体" w:hAnsi="Times New Roman" w:hint="eastAsia"/>
          <w:szCs w:val="24"/>
        </w:rPr>
        <w:t>清算审计报告</w:t>
      </w:r>
      <w:r w:rsidR="00014E55" w:rsidRPr="000305A7">
        <w:rPr>
          <w:rFonts w:ascii="Times New Roman" w:eastAsia="宋体" w:hAnsi="Times New Roman" w:hint="eastAsia"/>
          <w:szCs w:val="24"/>
        </w:rPr>
        <w:t>》</w:t>
      </w:r>
    </w:p>
    <w:p w14:paraId="725C1EB7" w14:textId="651194AA"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w:t>
      </w:r>
      <w:r w:rsidRPr="000305A7">
        <w:rPr>
          <w:rFonts w:ascii="Times New Roman" w:eastAsia="宋体" w:hAnsi="Times New Roman" w:hint="eastAsia"/>
          <w:szCs w:val="24"/>
        </w:rPr>
        <w:t>2</w:t>
      </w:r>
      <w:r w:rsidRPr="000305A7">
        <w:rPr>
          <w:rFonts w:ascii="Times New Roman" w:eastAsia="宋体" w:hAnsi="Times New Roman" w:hint="eastAsia"/>
          <w:szCs w:val="24"/>
        </w:rPr>
        <w:t>）</w:t>
      </w:r>
      <w:r w:rsidR="00C21E3D" w:rsidRPr="000305A7">
        <w:rPr>
          <w:rFonts w:ascii="Times New Roman" w:eastAsia="宋体" w:hAnsi="Times New Roman" w:hint="eastAsia"/>
          <w:szCs w:val="24"/>
        </w:rPr>
        <w:t>《上海</w:t>
      </w:r>
      <w:r w:rsidR="00811619" w:rsidRPr="000305A7">
        <w:rPr>
          <w:rFonts w:ascii="Times New Roman" w:eastAsia="宋体" w:hAnsi="Times New Roman" w:hint="eastAsia"/>
          <w:szCs w:val="24"/>
        </w:rPr>
        <w:t>市通力</w:t>
      </w:r>
      <w:r w:rsidR="00C21E3D" w:rsidRPr="000305A7">
        <w:rPr>
          <w:rFonts w:ascii="Times New Roman" w:eastAsia="宋体" w:hAnsi="Times New Roman" w:hint="eastAsia"/>
          <w:szCs w:val="24"/>
        </w:rPr>
        <w:t>律师事务所关于</w:t>
      </w:r>
      <w:r w:rsidR="003F7BB0" w:rsidRPr="000305A7">
        <w:rPr>
          <w:rFonts w:ascii="Times New Roman" w:eastAsia="宋体" w:hAnsi="Times New Roman"/>
          <w:szCs w:val="24"/>
        </w:rPr>
        <w:t>&lt;</w:t>
      </w:r>
      <w:r w:rsidR="007F189B" w:rsidRPr="000305A7">
        <w:rPr>
          <w:rFonts w:ascii="Times New Roman" w:eastAsia="宋体" w:hAnsi="Times New Roman" w:hint="eastAsia"/>
          <w:szCs w:val="24"/>
        </w:rPr>
        <w:t>万家</w:t>
      </w:r>
      <w:r w:rsidR="00826B58" w:rsidRPr="000305A7">
        <w:rPr>
          <w:rFonts w:ascii="Times New Roman" w:eastAsia="宋体" w:hAnsi="Times New Roman" w:hint="eastAsia"/>
          <w:szCs w:val="24"/>
        </w:rPr>
        <w:t>瑞尧</w:t>
      </w:r>
      <w:r w:rsidR="007F189B" w:rsidRPr="000305A7">
        <w:rPr>
          <w:rFonts w:ascii="Times New Roman" w:eastAsia="宋体" w:hAnsi="Times New Roman" w:hint="eastAsia"/>
          <w:szCs w:val="24"/>
        </w:rPr>
        <w:t>灵活配置混合型证券投资基金</w:t>
      </w:r>
      <w:r w:rsidRPr="000305A7">
        <w:rPr>
          <w:rFonts w:ascii="Times New Roman" w:eastAsia="宋体" w:hAnsi="Times New Roman" w:hint="eastAsia"/>
          <w:szCs w:val="24"/>
        </w:rPr>
        <w:t>清算</w:t>
      </w:r>
      <w:r w:rsidR="003F7BB0" w:rsidRPr="000305A7">
        <w:rPr>
          <w:rFonts w:ascii="Times New Roman" w:eastAsia="宋体" w:hAnsi="Times New Roman" w:hint="eastAsia"/>
          <w:szCs w:val="24"/>
        </w:rPr>
        <w:t>报告</w:t>
      </w:r>
      <w:r w:rsidR="003F7BB0" w:rsidRPr="000305A7">
        <w:rPr>
          <w:rFonts w:ascii="Times New Roman" w:eastAsia="宋体" w:hAnsi="Times New Roman" w:hint="eastAsia"/>
          <w:szCs w:val="24"/>
        </w:rPr>
        <w:t>&gt;</w:t>
      </w:r>
      <w:r w:rsidR="003F7BB0" w:rsidRPr="000305A7">
        <w:rPr>
          <w:rFonts w:ascii="Times New Roman" w:eastAsia="宋体" w:hAnsi="Times New Roman" w:hint="eastAsia"/>
          <w:szCs w:val="24"/>
        </w:rPr>
        <w:t>的</w:t>
      </w:r>
      <w:r w:rsidR="00C21E3D" w:rsidRPr="000305A7">
        <w:rPr>
          <w:rFonts w:ascii="Times New Roman" w:eastAsia="宋体" w:hAnsi="Times New Roman" w:hint="eastAsia"/>
          <w:szCs w:val="24"/>
        </w:rPr>
        <w:t>法律意见》</w:t>
      </w:r>
    </w:p>
    <w:p w14:paraId="53134F3C" w14:textId="77777777"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2</w:t>
      </w:r>
      <w:r w:rsidRPr="000305A7">
        <w:rPr>
          <w:rFonts w:ascii="Times New Roman" w:eastAsia="宋体" w:hAnsi="Times New Roman" w:hint="eastAsia"/>
          <w:szCs w:val="24"/>
        </w:rPr>
        <w:t>、存放地点</w:t>
      </w:r>
    </w:p>
    <w:p w14:paraId="26D39B46" w14:textId="77777777"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基金管理人的办公场所。</w:t>
      </w:r>
    </w:p>
    <w:p w14:paraId="1EF8842E" w14:textId="77777777"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3</w:t>
      </w:r>
      <w:r w:rsidRPr="000305A7">
        <w:rPr>
          <w:rFonts w:ascii="Times New Roman" w:eastAsia="宋体" w:hAnsi="Times New Roman" w:hint="eastAsia"/>
          <w:szCs w:val="24"/>
        </w:rPr>
        <w:t>、查阅方式</w:t>
      </w:r>
    </w:p>
    <w:p w14:paraId="3EF39195" w14:textId="77777777" w:rsidR="00A3748E" w:rsidRPr="000305A7" w:rsidRDefault="00A3748E" w:rsidP="009D0A4F">
      <w:pPr>
        <w:adjustRightInd w:val="0"/>
        <w:snapToGrid w:val="0"/>
        <w:spacing w:line="312" w:lineRule="auto"/>
        <w:ind w:firstLineChars="200" w:firstLine="420"/>
        <w:rPr>
          <w:rFonts w:ascii="Times New Roman" w:eastAsia="宋体" w:hAnsi="Times New Roman"/>
          <w:szCs w:val="24"/>
        </w:rPr>
      </w:pPr>
      <w:r w:rsidRPr="000305A7">
        <w:rPr>
          <w:rFonts w:ascii="Times New Roman" w:eastAsia="宋体" w:hAnsi="Times New Roman" w:hint="eastAsia"/>
          <w:szCs w:val="24"/>
        </w:rPr>
        <w:t>投资者可在营业时间内至基金管理人的办公场所免</w:t>
      </w:r>
      <w:bookmarkStart w:id="0" w:name="_GoBack"/>
      <w:bookmarkEnd w:id="0"/>
      <w:r w:rsidRPr="000305A7">
        <w:rPr>
          <w:rFonts w:ascii="Times New Roman" w:eastAsia="宋体" w:hAnsi="Times New Roman" w:hint="eastAsia"/>
          <w:szCs w:val="24"/>
        </w:rPr>
        <w:t>费查阅。</w:t>
      </w:r>
    </w:p>
    <w:p w14:paraId="1DCC72D1" w14:textId="77777777" w:rsidR="0097219C" w:rsidRPr="000305A7" w:rsidRDefault="0097219C" w:rsidP="009D0A4F">
      <w:pPr>
        <w:adjustRightInd w:val="0"/>
        <w:snapToGrid w:val="0"/>
        <w:spacing w:line="312" w:lineRule="auto"/>
        <w:ind w:firstLineChars="200" w:firstLine="420"/>
        <w:rPr>
          <w:rFonts w:ascii="Times New Roman" w:eastAsia="宋体" w:hAnsi="Times New Roman"/>
          <w:szCs w:val="24"/>
        </w:rPr>
      </w:pPr>
    </w:p>
    <w:p w14:paraId="30862994" w14:textId="77777777" w:rsidR="003A34CC" w:rsidRPr="000305A7" w:rsidRDefault="003A34CC" w:rsidP="009D0A4F">
      <w:pPr>
        <w:adjustRightInd w:val="0"/>
        <w:snapToGrid w:val="0"/>
        <w:spacing w:line="312" w:lineRule="auto"/>
        <w:ind w:firstLineChars="200" w:firstLine="420"/>
        <w:rPr>
          <w:rFonts w:ascii="Times New Roman" w:eastAsia="宋体" w:hAnsi="Times New Roman"/>
          <w:szCs w:val="24"/>
        </w:rPr>
      </w:pPr>
    </w:p>
    <w:p w14:paraId="25F5EB08" w14:textId="77777777" w:rsidR="003A34CC" w:rsidRPr="000305A7" w:rsidRDefault="003A34CC" w:rsidP="009D0A4F">
      <w:pPr>
        <w:adjustRightInd w:val="0"/>
        <w:snapToGrid w:val="0"/>
        <w:spacing w:line="312" w:lineRule="auto"/>
        <w:ind w:firstLineChars="200" w:firstLine="420"/>
        <w:rPr>
          <w:rFonts w:ascii="Times New Roman" w:eastAsia="宋体" w:hAnsi="Times New Roman"/>
          <w:szCs w:val="24"/>
        </w:rPr>
      </w:pPr>
    </w:p>
    <w:p w14:paraId="1D2AD6B1" w14:textId="0F025643" w:rsidR="00997434" w:rsidRPr="000305A7" w:rsidRDefault="00D23D89" w:rsidP="00A3748E">
      <w:pPr>
        <w:tabs>
          <w:tab w:val="left" w:pos="540"/>
        </w:tabs>
        <w:adjustRightInd w:val="0"/>
        <w:snapToGrid w:val="0"/>
        <w:spacing w:line="312" w:lineRule="auto"/>
        <w:jc w:val="right"/>
        <w:rPr>
          <w:rFonts w:ascii="Times New Roman" w:hAnsi="Times New Roman"/>
          <w:szCs w:val="21"/>
        </w:rPr>
      </w:pPr>
      <w:proofErr w:type="gramStart"/>
      <w:r w:rsidRPr="000305A7">
        <w:rPr>
          <w:rFonts w:ascii="Times New Roman" w:hAnsi="Times New Roman" w:hint="eastAsia"/>
          <w:szCs w:val="24"/>
        </w:rPr>
        <w:t>万家瑞尧</w:t>
      </w:r>
      <w:r w:rsidR="007F189B" w:rsidRPr="000305A7">
        <w:rPr>
          <w:rFonts w:ascii="Times New Roman" w:hAnsi="Times New Roman" w:hint="eastAsia"/>
          <w:szCs w:val="24"/>
        </w:rPr>
        <w:t>灵活</w:t>
      </w:r>
      <w:proofErr w:type="gramEnd"/>
      <w:r w:rsidR="007F189B" w:rsidRPr="000305A7">
        <w:rPr>
          <w:rFonts w:ascii="Times New Roman" w:hAnsi="Times New Roman" w:hint="eastAsia"/>
          <w:szCs w:val="24"/>
        </w:rPr>
        <w:t>配置混合型证券投资基金</w:t>
      </w:r>
    </w:p>
    <w:p w14:paraId="0F7B0724" w14:textId="77777777" w:rsidR="00A3748E" w:rsidRPr="000305A7" w:rsidRDefault="00560098" w:rsidP="00A3748E">
      <w:pPr>
        <w:tabs>
          <w:tab w:val="left" w:pos="540"/>
        </w:tabs>
        <w:adjustRightInd w:val="0"/>
        <w:snapToGrid w:val="0"/>
        <w:spacing w:line="312" w:lineRule="auto"/>
        <w:jc w:val="right"/>
        <w:rPr>
          <w:rFonts w:ascii="Times New Roman" w:hAnsi="Times New Roman"/>
          <w:szCs w:val="21"/>
        </w:rPr>
      </w:pPr>
      <w:r w:rsidRPr="000305A7">
        <w:rPr>
          <w:rFonts w:ascii="Times New Roman" w:hAnsi="Times New Roman" w:hint="eastAsia"/>
          <w:szCs w:val="21"/>
        </w:rPr>
        <w:t>基金</w:t>
      </w:r>
      <w:r w:rsidR="00A3748E" w:rsidRPr="000305A7">
        <w:rPr>
          <w:rFonts w:ascii="Times New Roman" w:hAnsi="Times New Roman" w:hint="eastAsia"/>
          <w:szCs w:val="21"/>
        </w:rPr>
        <w:t>财产清算小组</w:t>
      </w:r>
    </w:p>
    <w:p w14:paraId="7DCDA473" w14:textId="4BA655AF" w:rsidR="00A3748E" w:rsidRPr="000305A7" w:rsidRDefault="00770D64" w:rsidP="00A3748E">
      <w:pPr>
        <w:tabs>
          <w:tab w:val="left" w:pos="540"/>
        </w:tabs>
        <w:adjustRightInd w:val="0"/>
        <w:snapToGrid w:val="0"/>
        <w:spacing w:line="312" w:lineRule="auto"/>
        <w:jc w:val="right"/>
        <w:rPr>
          <w:rFonts w:ascii="Times New Roman" w:hAnsi="Times New Roman"/>
          <w:szCs w:val="21"/>
        </w:rPr>
      </w:pPr>
      <w:r w:rsidRPr="001C72AF">
        <w:rPr>
          <w:rFonts w:ascii="Times New Roman" w:hAnsi="Times New Roman" w:hint="eastAsia"/>
          <w:szCs w:val="21"/>
        </w:rPr>
        <w:t>20</w:t>
      </w:r>
      <w:r w:rsidR="00013584" w:rsidRPr="001C72AF">
        <w:rPr>
          <w:rFonts w:ascii="Times New Roman" w:hAnsi="Times New Roman"/>
          <w:szCs w:val="21"/>
        </w:rPr>
        <w:t>2</w:t>
      </w:r>
      <w:r w:rsidR="007F189B" w:rsidRPr="001C72AF">
        <w:rPr>
          <w:rFonts w:ascii="Times New Roman" w:hAnsi="Times New Roman"/>
          <w:szCs w:val="21"/>
        </w:rPr>
        <w:t>4</w:t>
      </w:r>
      <w:r w:rsidR="00A3748E" w:rsidRPr="001C72AF">
        <w:rPr>
          <w:rFonts w:ascii="Times New Roman" w:hAnsi="Times New Roman" w:hint="eastAsia"/>
          <w:szCs w:val="21"/>
        </w:rPr>
        <w:t>年</w:t>
      </w:r>
      <w:r w:rsidR="004A0939" w:rsidRPr="001C72AF">
        <w:rPr>
          <w:rFonts w:ascii="Times New Roman" w:hAnsi="Times New Roman"/>
          <w:szCs w:val="21"/>
        </w:rPr>
        <w:t>11</w:t>
      </w:r>
      <w:r w:rsidR="00A3748E" w:rsidRPr="001C72AF">
        <w:rPr>
          <w:rFonts w:ascii="Times New Roman" w:hAnsi="Times New Roman" w:hint="eastAsia"/>
          <w:szCs w:val="21"/>
        </w:rPr>
        <w:t>月</w:t>
      </w:r>
      <w:r w:rsidR="004A0939" w:rsidRPr="001C72AF">
        <w:rPr>
          <w:rFonts w:ascii="Times New Roman" w:hAnsi="Times New Roman"/>
          <w:szCs w:val="21"/>
        </w:rPr>
        <w:t>2</w:t>
      </w:r>
      <w:r w:rsidR="00DF7BC4" w:rsidRPr="001C72AF">
        <w:rPr>
          <w:rFonts w:ascii="Times New Roman" w:hAnsi="Times New Roman"/>
          <w:szCs w:val="21"/>
        </w:rPr>
        <w:t>2</w:t>
      </w:r>
      <w:r w:rsidR="00A3748E" w:rsidRPr="001C72AF">
        <w:rPr>
          <w:rFonts w:ascii="Times New Roman" w:hAnsi="Times New Roman" w:hint="eastAsia"/>
          <w:szCs w:val="21"/>
        </w:rPr>
        <w:t>日</w:t>
      </w:r>
      <w:r w:rsidR="00312653">
        <w:rPr>
          <w:rFonts w:ascii="Times New Roman" w:hAnsi="Times New Roman" w:hint="eastAsia"/>
          <w:szCs w:val="21"/>
        </w:rPr>
        <w:t>（</w:t>
      </w:r>
      <w:r w:rsidR="00312653" w:rsidRPr="00312653">
        <w:rPr>
          <w:rFonts w:ascii="Times New Roman" w:hAnsi="Times New Roman" w:hint="eastAsia"/>
          <w:szCs w:val="21"/>
        </w:rPr>
        <w:t>清算报告出具日</w:t>
      </w:r>
      <w:r w:rsidR="00312653">
        <w:rPr>
          <w:rFonts w:ascii="Times New Roman" w:hAnsi="Times New Roman" w:hint="eastAsia"/>
          <w:szCs w:val="21"/>
        </w:rPr>
        <w:t>）</w:t>
      </w:r>
    </w:p>
    <w:sectPr w:rsidR="00A3748E" w:rsidRPr="000305A7">
      <w:footerReference w:type="default" r:id="rId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3F61B" w16cid:durableId="27D95AF1"/>
  <w16cid:commentId w16cid:paraId="01A738BF" w16cid:durableId="27D95A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71827" w14:textId="77777777" w:rsidR="00130FE1" w:rsidRDefault="00130FE1" w:rsidP="00DF25A3">
      <w:r>
        <w:separator/>
      </w:r>
    </w:p>
  </w:endnote>
  <w:endnote w:type="continuationSeparator" w:id="0">
    <w:p w14:paraId="17FD2A2C" w14:textId="77777777" w:rsidR="00130FE1" w:rsidRDefault="00130FE1" w:rsidP="00DF25A3">
      <w:r>
        <w:continuationSeparator/>
      </w:r>
    </w:p>
  </w:endnote>
  <w:endnote w:type="continuationNotice" w:id="1">
    <w:p w14:paraId="65FBAC25" w14:textId="77777777" w:rsidR="00130FE1" w:rsidRDefault="00130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82139"/>
      <w:docPartObj>
        <w:docPartGallery w:val="Page Numbers (Bottom of Page)"/>
        <w:docPartUnique/>
      </w:docPartObj>
    </w:sdtPr>
    <w:sdtEndPr/>
    <w:sdtContent>
      <w:p w14:paraId="3085646D" w14:textId="28AB8EA6" w:rsidR="0097219C" w:rsidRDefault="0097219C">
        <w:pPr>
          <w:pStyle w:val="a4"/>
          <w:jc w:val="center"/>
        </w:pPr>
        <w:r>
          <w:fldChar w:fldCharType="begin"/>
        </w:r>
        <w:r>
          <w:instrText>PAGE   \* MERGEFORMAT</w:instrText>
        </w:r>
        <w:r>
          <w:fldChar w:fldCharType="separate"/>
        </w:r>
        <w:r w:rsidR="00312653" w:rsidRPr="00312653">
          <w:rPr>
            <w:noProof/>
            <w:lang w:val="zh-CN"/>
          </w:rPr>
          <w:t>5</w:t>
        </w:r>
        <w:r>
          <w:fldChar w:fldCharType="end"/>
        </w:r>
      </w:p>
    </w:sdtContent>
  </w:sdt>
  <w:p w14:paraId="153F0FD0" w14:textId="77777777" w:rsidR="0097219C" w:rsidRDefault="009721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9AD67" w14:textId="77777777" w:rsidR="00130FE1" w:rsidRDefault="00130FE1" w:rsidP="00DF25A3">
      <w:r>
        <w:separator/>
      </w:r>
    </w:p>
  </w:footnote>
  <w:footnote w:type="continuationSeparator" w:id="0">
    <w:p w14:paraId="7C487C73" w14:textId="77777777" w:rsidR="00130FE1" w:rsidRDefault="00130FE1" w:rsidP="00DF25A3">
      <w:r>
        <w:continuationSeparator/>
      </w:r>
    </w:p>
  </w:footnote>
  <w:footnote w:type="continuationNotice" w:id="1">
    <w:p w14:paraId="0C3A72F8" w14:textId="77777777" w:rsidR="00130FE1" w:rsidRDefault="00130F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A376A"/>
    <w:multiLevelType w:val="hybridMultilevel"/>
    <w:tmpl w:val="EA6A6F5A"/>
    <w:lvl w:ilvl="0" w:tplc="F2B0D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D1"/>
    <w:rsid w:val="00005D60"/>
    <w:rsid w:val="00013584"/>
    <w:rsid w:val="00014E55"/>
    <w:rsid w:val="00015AA4"/>
    <w:rsid w:val="000163A8"/>
    <w:rsid w:val="000205B9"/>
    <w:rsid w:val="000305A7"/>
    <w:rsid w:val="00031E65"/>
    <w:rsid w:val="00070498"/>
    <w:rsid w:val="00072287"/>
    <w:rsid w:val="00075174"/>
    <w:rsid w:val="0008275F"/>
    <w:rsid w:val="0008356C"/>
    <w:rsid w:val="00084B8B"/>
    <w:rsid w:val="000865B3"/>
    <w:rsid w:val="000871BD"/>
    <w:rsid w:val="000915D6"/>
    <w:rsid w:val="000970F2"/>
    <w:rsid w:val="000A682A"/>
    <w:rsid w:val="000B2713"/>
    <w:rsid w:val="000B6DC8"/>
    <w:rsid w:val="000C2A00"/>
    <w:rsid w:val="000C2A44"/>
    <w:rsid w:val="000C71F4"/>
    <w:rsid w:val="000D67DE"/>
    <w:rsid w:val="000E19EA"/>
    <w:rsid w:val="000E2CC1"/>
    <w:rsid w:val="00107391"/>
    <w:rsid w:val="001075BB"/>
    <w:rsid w:val="0011593B"/>
    <w:rsid w:val="001171B4"/>
    <w:rsid w:val="00125DBD"/>
    <w:rsid w:val="00125EA6"/>
    <w:rsid w:val="00126AE6"/>
    <w:rsid w:val="00130FE1"/>
    <w:rsid w:val="00135347"/>
    <w:rsid w:val="0013781F"/>
    <w:rsid w:val="001461E7"/>
    <w:rsid w:val="001646B4"/>
    <w:rsid w:val="00166993"/>
    <w:rsid w:val="00170D02"/>
    <w:rsid w:val="0017192C"/>
    <w:rsid w:val="00171C91"/>
    <w:rsid w:val="00176080"/>
    <w:rsid w:val="00181032"/>
    <w:rsid w:val="00186CF3"/>
    <w:rsid w:val="00192D9B"/>
    <w:rsid w:val="00193570"/>
    <w:rsid w:val="001A240D"/>
    <w:rsid w:val="001A2C65"/>
    <w:rsid w:val="001B1016"/>
    <w:rsid w:val="001B6027"/>
    <w:rsid w:val="001C5F79"/>
    <w:rsid w:val="001C72AF"/>
    <w:rsid w:val="001D7084"/>
    <w:rsid w:val="001F0049"/>
    <w:rsid w:val="001F14DA"/>
    <w:rsid w:val="001F4844"/>
    <w:rsid w:val="002042EF"/>
    <w:rsid w:val="002133AF"/>
    <w:rsid w:val="002213A3"/>
    <w:rsid w:val="00221694"/>
    <w:rsid w:val="00222220"/>
    <w:rsid w:val="00224390"/>
    <w:rsid w:val="0022663B"/>
    <w:rsid w:val="00230A5F"/>
    <w:rsid w:val="002313A0"/>
    <w:rsid w:val="00232321"/>
    <w:rsid w:val="00236FA1"/>
    <w:rsid w:val="00242A8A"/>
    <w:rsid w:val="002523AD"/>
    <w:rsid w:val="00254F5E"/>
    <w:rsid w:val="00261393"/>
    <w:rsid w:val="002800A4"/>
    <w:rsid w:val="0028715B"/>
    <w:rsid w:val="0029310C"/>
    <w:rsid w:val="002A2ABF"/>
    <w:rsid w:val="002B131B"/>
    <w:rsid w:val="002B2957"/>
    <w:rsid w:val="002E0821"/>
    <w:rsid w:val="002E413B"/>
    <w:rsid w:val="002F1A7C"/>
    <w:rsid w:val="00305193"/>
    <w:rsid w:val="0031224A"/>
    <w:rsid w:val="00312653"/>
    <w:rsid w:val="00317046"/>
    <w:rsid w:val="00317794"/>
    <w:rsid w:val="00324083"/>
    <w:rsid w:val="00334255"/>
    <w:rsid w:val="00344BBB"/>
    <w:rsid w:val="00351917"/>
    <w:rsid w:val="003535C4"/>
    <w:rsid w:val="00377ADC"/>
    <w:rsid w:val="003816EB"/>
    <w:rsid w:val="00393514"/>
    <w:rsid w:val="003A08BF"/>
    <w:rsid w:val="003A104F"/>
    <w:rsid w:val="003A34CC"/>
    <w:rsid w:val="003A5EAF"/>
    <w:rsid w:val="003B3AB1"/>
    <w:rsid w:val="003C0019"/>
    <w:rsid w:val="003D10CA"/>
    <w:rsid w:val="003D1B1A"/>
    <w:rsid w:val="003D2F7B"/>
    <w:rsid w:val="003D7BB4"/>
    <w:rsid w:val="003E628C"/>
    <w:rsid w:val="003F323C"/>
    <w:rsid w:val="003F3643"/>
    <w:rsid w:val="003F5A8F"/>
    <w:rsid w:val="003F7BB0"/>
    <w:rsid w:val="003F7FB4"/>
    <w:rsid w:val="004003F8"/>
    <w:rsid w:val="0040469F"/>
    <w:rsid w:val="0040628A"/>
    <w:rsid w:val="00406BB6"/>
    <w:rsid w:val="00413A70"/>
    <w:rsid w:val="00414A81"/>
    <w:rsid w:val="004207E4"/>
    <w:rsid w:val="004277B8"/>
    <w:rsid w:val="004321F9"/>
    <w:rsid w:val="00453895"/>
    <w:rsid w:val="004542BC"/>
    <w:rsid w:val="00455E50"/>
    <w:rsid w:val="00457B41"/>
    <w:rsid w:val="00463BE7"/>
    <w:rsid w:val="0046422D"/>
    <w:rsid w:val="004721A1"/>
    <w:rsid w:val="00472239"/>
    <w:rsid w:val="00472FDF"/>
    <w:rsid w:val="004738DB"/>
    <w:rsid w:val="00476604"/>
    <w:rsid w:val="00477901"/>
    <w:rsid w:val="004810D0"/>
    <w:rsid w:val="004858BD"/>
    <w:rsid w:val="00486C4A"/>
    <w:rsid w:val="004939F4"/>
    <w:rsid w:val="004A0939"/>
    <w:rsid w:val="004A2CCB"/>
    <w:rsid w:val="004B563D"/>
    <w:rsid w:val="004C29E6"/>
    <w:rsid w:val="004C4B86"/>
    <w:rsid w:val="004C6F52"/>
    <w:rsid w:val="004D3C3D"/>
    <w:rsid w:val="004E371E"/>
    <w:rsid w:val="004E4EAA"/>
    <w:rsid w:val="004F69AA"/>
    <w:rsid w:val="0050117E"/>
    <w:rsid w:val="005071C8"/>
    <w:rsid w:val="00510399"/>
    <w:rsid w:val="00512762"/>
    <w:rsid w:val="00521EEB"/>
    <w:rsid w:val="00522AEB"/>
    <w:rsid w:val="00522FF7"/>
    <w:rsid w:val="00523C9D"/>
    <w:rsid w:val="00525346"/>
    <w:rsid w:val="00525F16"/>
    <w:rsid w:val="00532D14"/>
    <w:rsid w:val="00534F98"/>
    <w:rsid w:val="00545441"/>
    <w:rsid w:val="00560098"/>
    <w:rsid w:val="00562F86"/>
    <w:rsid w:val="00571445"/>
    <w:rsid w:val="0058137B"/>
    <w:rsid w:val="00583565"/>
    <w:rsid w:val="0058563C"/>
    <w:rsid w:val="00585F46"/>
    <w:rsid w:val="0058633C"/>
    <w:rsid w:val="0059255A"/>
    <w:rsid w:val="005942B3"/>
    <w:rsid w:val="005B4A33"/>
    <w:rsid w:val="005B7FED"/>
    <w:rsid w:val="005C1322"/>
    <w:rsid w:val="005C28FD"/>
    <w:rsid w:val="005D0855"/>
    <w:rsid w:val="005F0385"/>
    <w:rsid w:val="00600C65"/>
    <w:rsid w:val="00611A41"/>
    <w:rsid w:val="006128A3"/>
    <w:rsid w:val="006203BF"/>
    <w:rsid w:val="00630F14"/>
    <w:rsid w:val="00635029"/>
    <w:rsid w:val="00635681"/>
    <w:rsid w:val="00647F8B"/>
    <w:rsid w:val="0065700A"/>
    <w:rsid w:val="006879FC"/>
    <w:rsid w:val="0069119E"/>
    <w:rsid w:val="0069161B"/>
    <w:rsid w:val="006A2F5C"/>
    <w:rsid w:val="006A4713"/>
    <w:rsid w:val="006A6947"/>
    <w:rsid w:val="006C7A68"/>
    <w:rsid w:val="006D4FE6"/>
    <w:rsid w:val="006E0BF1"/>
    <w:rsid w:val="006E13F4"/>
    <w:rsid w:val="006F777E"/>
    <w:rsid w:val="007173F7"/>
    <w:rsid w:val="007217A3"/>
    <w:rsid w:val="007564F4"/>
    <w:rsid w:val="0075727D"/>
    <w:rsid w:val="0076114E"/>
    <w:rsid w:val="00770D64"/>
    <w:rsid w:val="00772FD6"/>
    <w:rsid w:val="00774A23"/>
    <w:rsid w:val="007752AE"/>
    <w:rsid w:val="00777BEE"/>
    <w:rsid w:val="00781D92"/>
    <w:rsid w:val="007848DE"/>
    <w:rsid w:val="00786BDF"/>
    <w:rsid w:val="007874F4"/>
    <w:rsid w:val="00787B02"/>
    <w:rsid w:val="007D7053"/>
    <w:rsid w:val="007E2DCA"/>
    <w:rsid w:val="007F189B"/>
    <w:rsid w:val="008056FE"/>
    <w:rsid w:val="008108AB"/>
    <w:rsid w:val="00811619"/>
    <w:rsid w:val="0081712A"/>
    <w:rsid w:val="00820F32"/>
    <w:rsid w:val="00826B58"/>
    <w:rsid w:val="00852180"/>
    <w:rsid w:val="0085267B"/>
    <w:rsid w:val="00861A7A"/>
    <w:rsid w:val="00872CA2"/>
    <w:rsid w:val="00876399"/>
    <w:rsid w:val="00881659"/>
    <w:rsid w:val="00882773"/>
    <w:rsid w:val="008834BD"/>
    <w:rsid w:val="0088505D"/>
    <w:rsid w:val="0088626F"/>
    <w:rsid w:val="00894F90"/>
    <w:rsid w:val="008A0880"/>
    <w:rsid w:val="008A6B41"/>
    <w:rsid w:val="008B6B38"/>
    <w:rsid w:val="008D1EAB"/>
    <w:rsid w:val="008E413B"/>
    <w:rsid w:val="008F3F3E"/>
    <w:rsid w:val="008F5330"/>
    <w:rsid w:val="00901F25"/>
    <w:rsid w:val="009043B4"/>
    <w:rsid w:val="00905EF7"/>
    <w:rsid w:val="00910024"/>
    <w:rsid w:val="00927B1D"/>
    <w:rsid w:val="00930103"/>
    <w:rsid w:val="0093633A"/>
    <w:rsid w:val="00936AD8"/>
    <w:rsid w:val="00957E5A"/>
    <w:rsid w:val="0097219C"/>
    <w:rsid w:val="00973DD4"/>
    <w:rsid w:val="009827C7"/>
    <w:rsid w:val="00997434"/>
    <w:rsid w:val="009A72D8"/>
    <w:rsid w:val="009B07AD"/>
    <w:rsid w:val="009B0B25"/>
    <w:rsid w:val="009B418C"/>
    <w:rsid w:val="009C2CB2"/>
    <w:rsid w:val="009D07AB"/>
    <w:rsid w:val="009D0A4F"/>
    <w:rsid w:val="009D536A"/>
    <w:rsid w:val="009D6A15"/>
    <w:rsid w:val="009E07FB"/>
    <w:rsid w:val="009F5D7C"/>
    <w:rsid w:val="00A00335"/>
    <w:rsid w:val="00A01D3E"/>
    <w:rsid w:val="00A0417B"/>
    <w:rsid w:val="00A20A32"/>
    <w:rsid w:val="00A20CEA"/>
    <w:rsid w:val="00A22602"/>
    <w:rsid w:val="00A23625"/>
    <w:rsid w:val="00A33F4F"/>
    <w:rsid w:val="00A3748E"/>
    <w:rsid w:val="00A45215"/>
    <w:rsid w:val="00A63953"/>
    <w:rsid w:val="00A677E6"/>
    <w:rsid w:val="00A71A8A"/>
    <w:rsid w:val="00A71BC6"/>
    <w:rsid w:val="00A71F9A"/>
    <w:rsid w:val="00A7390E"/>
    <w:rsid w:val="00A75A60"/>
    <w:rsid w:val="00A803F7"/>
    <w:rsid w:val="00A900E2"/>
    <w:rsid w:val="00A93ED8"/>
    <w:rsid w:val="00AA051A"/>
    <w:rsid w:val="00AA09D2"/>
    <w:rsid w:val="00AA35E1"/>
    <w:rsid w:val="00AB35A2"/>
    <w:rsid w:val="00AC0832"/>
    <w:rsid w:val="00AC1079"/>
    <w:rsid w:val="00AC1393"/>
    <w:rsid w:val="00AC425E"/>
    <w:rsid w:val="00AC618D"/>
    <w:rsid w:val="00AC6B26"/>
    <w:rsid w:val="00AD18D0"/>
    <w:rsid w:val="00AE61C5"/>
    <w:rsid w:val="00AE77E9"/>
    <w:rsid w:val="00AF745F"/>
    <w:rsid w:val="00B03BF8"/>
    <w:rsid w:val="00B269DC"/>
    <w:rsid w:val="00B3351F"/>
    <w:rsid w:val="00B33751"/>
    <w:rsid w:val="00B4119A"/>
    <w:rsid w:val="00B56927"/>
    <w:rsid w:val="00B56FD1"/>
    <w:rsid w:val="00B61A4D"/>
    <w:rsid w:val="00B61C8C"/>
    <w:rsid w:val="00B65869"/>
    <w:rsid w:val="00B7015D"/>
    <w:rsid w:val="00B97C11"/>
    <w:rsid w:val="00BA0DD2"/>
    <w:rsid w:val="00BA172E"/>
    <w:rsid w:val="00BA5272"/>
    <w:rsid w:val="00BB2FBD"/>
    <w:rsid w:val="00BB38DF"/>
    <w:rsid w:val="00BC169B"/>
    <w:rsid w:val="00BC1DF7"/>
    <w:rsid w:val="00BC2631"/>
    <w:rsid w:val="00BC5F7F"/>
    <w:rsid w:val="00BD3D7A"/>
    <w:rsid w:val="00BD5ABC"/>
    <w:rsid w:val="00BE3E25"/>
    <w:rsid w:val="00BE5860"/>
    <w:rsid w:val="00BE652F"/>
    <w:rsid w:val="00BF7208"/>
    <w:rsid w:val="00C02CC1"/>
    <w:rsid w:val="00C05F0C"/>
    <w:rsid w:val="00C06FF2"/>
    <w:rsid w:val="00C1309B"/>
    <w:rsid w:val="00C21E3D"/>
    <w:rsid w:val="00C30C6B"/>
    <w:rsid w:val="00C422E0"/>
    <w:rsid w:val="00C5055A"/>
    <w:rsid w:val="00C566A2"/>
    <w:rsid w:val="00C65C19"/>
    <w:rsid w:val="00C73AD8"/>
    <w:rsid w:val="00C75204"/>
    <w:rsid w:val="00C8682C"/>
    <w:rsid w:val="00C957D1"/>
    <w:rsid w:val="00C9779F"/>
    <w:rsid w:val="00CA1125"/>
    <w:rsid w:val="00CB149B"/>
    <w:rsid w:val="00CB14E9"/>
    <w:rsid w:val="00CB1B74"/>
    <w:rsid w:val="00CB2F30"/>
    <w:rsid w:val="00CB33DD"/>
    <w:rsid w:val="00CB3B5D"/>
    <w:rsid w:val="00CB439B"/>
    <w:rsid w:val="00CE3133"/>
    <w:rsid w:val="00CE65A1"/>
    <w:rsid w:val="00CF1E80"/>
    <w:rsid w:val="00CF4C51"/>
    <w:rsid w:val="00CF76D1"/>
    <w:rsid w:val="00D04107"/>
    <w:rsid w:val="00D16379"/>
    <w:rsid w:val="00D21B9B"/>
    <w:rsid w:val="00D23D89"/>
    <w:rsid w:val="00D24050"/>
    <w:rsid w:val="00D27454"/>
    <w:rsid w:val="00D41CF4"/>
    <w:rsid w:val="00D44717"/>
    <w:rsid w:val="00D4637C"/>
    <w:rsid w:val="00D53D73"/>
    <w:rsid w:val="00D53F81"/>
    <w:rsid w:val="00D54249"/>
    <w:rsid w:val="00D60BA5"/>
    <w:rsid w:val="00D6634A"/>
    <w:rsid w:val="00D66A2D"/>
    <w:rsid w:val="00D67380"/>
    <w:rsid w:val="00D72A4E"/>
    <w:rsid w:val="00D73D71"/>
    <w:rsid w:val="00D81C08"/>
    <w:rsid w:val="00D82F93"/>
    <w:rsid w:val="00D84DA5"/>
    <w:rsid w:val="00D90859"/>
    <w:rsid w:val="00D97F51"/>
    <w:rsid w:val="00DA3ECF"/>
    <w:rsid w:val="00DB0C87"/>
    <w:rsid w:val="00DD2A99"/>
    <w:rsid w:val="00DE23E6"/>
    <w:rsid w:val="00DF25A3"/>
    <w:rsid w:val="00DF6525"/>
    <w:rsid w:val="00DF68AF"/>
    <w:rsid w:val="00DF6999"/>
    <w:rsid w:val="00DF70E2"/>
    <w:rsid w:val="00DF7BC4"/>
    <w:rsid w:val="00E02CF8"/>
    <w:rsid w:val="00E1183A"/>
    <w:rsid w:val="00E13818"/>
    <w:rsid w:val="00E14B5A"/>
    <w:rsid w:val="00E17905"/>
    <w:rsid w:val="00E32173"/>
    <w:rsid w:val="00E40FE4"/>
    <w:rsid w:val="00E4300F"/>
    <w:rsid w:val="00E46390"/>
    <w:rsid w:val="00E5201F"/>
    <w:rsid w:val="00E53062"/>
    <w:rsid w:val="00E57F4B"/>
    <w:rsid w:val="00E630D1"/>
    <w:rsid w:val="00E855D5"/>
    <w:rsid w:val="00E93708"/>
    <w:rsid w:val="00EB6285"/>
    <w:rsid w:val="00EB7CE8"/>
    <w:rsid w:val="00EC3346"/>
    <w:rsid w:val="00ED3BF2"/>
    <w:rsid w:val="00ED7D93"/>
    <w:rsid w:val="00EE3734"/>
    <w:rsid w:val="00EE5415"/>
    <w:rsid w:val="00EF08D1"/>
    <w:rsid w:val="00EF5284"/>
    <w:rsid w:val="00F2266A"/>
    <w:rsid w:val="00F23DAB"/>
    <w:rsid w:val="00F3390B"/>
    <w:rsid w:val="00F37979"/>
    <w:rsid w:val="00F42533"/>
    <w:rsid w:val="00F4574B"/>
    <w:rsid w:val="00F506CD"/>
    <w:rsid w:val="00F51BFF"/>
    <w:rsid w:val="00F66405"/>
    <w:rsid w:val="00F902B6"/>
    <w:rsid w:val="00FA0919"/>
    <w:rsid w:val="00FB1B59"/>
    <w:rsid w:val="00FB1C02"/>
    <w:rsid w:val="00FC4073"/>
    <w:rsid w:val="00FE070F"/>
    <w:rsid w:val="00FE277C"/>
    <w:rsid w:val="00FE4062"/>
    <w:rsid w:val="00FF583A"/>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B135"/>
  <w15:docId w15:val="{1103FF6A-2BA2-4CA0-9ECD-7D36430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5A3"/>
    <w:rPr>
      <w:sz w:val="18"/>
      <w:szCs w:val="18"/>
    </w:rPr>
  </w:style>
  <w:style w:type="paragraph" w:styleId="a4">
    <w:name w:val="footer"/>
    <w:basedOn w:val="a"/>
    <w:link w:val="Char0"/>
    <w:uiPriority w:val="99"/>
    <w:unhideWhenUsed/>
    <w:rsid w:val="00DF25A3"/>
    <w:pPr>
      <w:tabs>
        <w:tab w:val="center" w:pos="4153"/>
        <w:tab w:val="right" w:pos="8306"/>
      </w:tabs>
      <w:snapToGrid w:val="0"/>
      <w:jc w:val="left"/>
    </w:pPr>
    <w:rPr>
      <w:sz w:val="18"/>
      <w:szCs w:val="18"/>
    </w:rPr>
  </w:style>
  <w:style w:type="character" w:customStyle="1" w:styleId="Char0">
    <w:name w:val="页脚 Char"/>
    <w:basedOn w:val="a0"/>
    <w:link w:val="a4"/>
    <w:uiPriority w:val="99"/>
    <w:rsid w:val="00DF25A3"/>
    <w:rPr>
      <w:sz w:val="18"/>
      <w:szCs w:val="18"/>
    </w:rPr>
  </w:style>
  <w:style w:type="character" w:styleId="a5">
    <w:name w:val="annotation reference"/>
    <w:basedOn w:val="a0"/>
    <w:uiPriority w:val="99"/>
    <w:semiHidden/>
    <w:unhideWhenUsed/>
    <w:rsid w:val="00015AA4"/>
    <w:rPr>
      <w:sz w:val="21"/>
      <w:szCs w:val="21"/>
    </w:rPr>
  </w:style>
  <w:style w:type="paragraph" w:styleId="a6">
    <w:name w:val="annotation text"/>
    <w:basedOn w:val="a"/>
    <w:link w:val="Char1"/>
    <w:uiPriority w:val="99"/>
    <w:unhideWhenUsed/>
    <w:rsid w:val="00015AA4"/>
    <w:pPr>
      <w:jc w:val="left"/>
    </w:pPr>
  </w:style>
  <w:style w:type="character" w:customStyle="1" w:styleId="Char1">
    <w:name w:val="批注文字 Char"/>
    <w:basedOn w:val="a0"/>
    <w:link w:val="a6"/>
    <w:uiPriority w:val="99"/>
    <w:rsid w:val="00015AA4"/>
  </w:style>
  <w:style w:type="paragraph" w:styleId="a7">
    <w:name w:val="annotation subject"/>
    <w:basedOn w:val="a6"/>
    <w:next w:val="a6"/>
    <w:link w:val="Char2"/>
    <w:uiPriority w:val="99"/>
    <w:semiHidden/>
    <w:unhideWhenUsed/>
    <w:rsid w:val="00015AA4"/>
    <w:rPr>
      <w:b/>
      <w:bCs/>
    </w:rPr>
  </w:style>
  <w:style w:type="character" w:customStyle="1" w:styleId="Char2">
    <w:name w:val="批注主题 Char"/>
    <w:basedOn w:val="Char1"/>
    <w:link w:val="a7"/>
    <w:uiPriority w:val="99"/>
    <w:semiHidden/>
    <w:rsid w:val="00015AA4"/>
    <w:rPr>
      <w:b/>
      <w:bCs/>
    </w:rPr>
  </w:style>
  <w:style w:type="paragraph" w:styleId="a8">
    <w:name w:val="Balloon Text"/>
    <w:basedOn w:val="a"/>
    <w:link w:val="Char3"/>
    <w:uiPriority w:val="99"/>
    <w:semiHidden/>
    <w:unhideWhenUsed/>
    <w:rsid w:val="00015AA4"/>
    <w:rPr>
      <w:sz w:val="18"/>
      <w:szCs w:val="18"/>
    </w:rPr>
  </w:style>
  <w:style w:type="character" w:customStyle="1" w:styleId="Char3">
    <w:name w:val="批注框文本 Char"/>
    <w:basedOn w:val="a0"/>
    <w:link w:val="a8"/>
    <w:uiPriority w:val="99"/>
    <w:semiHidden/>
    <w:rsid w:val="00015AA4"/>
    <w:rPr>
      <w:sz w:val="18"/>
      <w:szCs w:val="18"/>
    </w:rPr>
  </w:style>
  <w:style w:type="paragraph" w:styleId="a9">
    <w:name w:val="List Paragraph"/>
    <w:basedOn w:val="a"/>
    <w:uiPriority w:val="34"/>
    <w:qFormat/>
    <w:rsid w:val="0022663B"/>
    <w:pPr>
      <w:ind w:firstLineChars="200" w:firstLine="420"/>
    </w:pPr>
  </w:style>
  <w:style w:type="table" w:styleId="aa">
    <w:name w:val="Table Grid"/>
    <w:basedOn w:val="a1"/>
    <w:uiPriority w:val="59"/>
    <w:rsid w:val="00786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6BDF"/>
    <w:pPr>
      <w:widowControl w:val="0"/>
      <w:autoSpaceDE w:val="0"/>
      <w:autoSpaceDN w:val="0"/>
      <w:adjustRightInd w:val="0"/>
    </w:pPr>
    <w:rPr>
      <w:rFonts w:ascii="宋体" w:eastAsia="宋体" w:cs="宋体"/>
      <w:color w:val="000000"/>
      <w:kern w:val="0"/>
      <w:sz w:val="24"/>
      <w:szCs w:val="24"/>
    </w:rPr>
  </w:style>
  <w:style w:type="paragraph" w:styleId="ab">
    <w:name w:val="Normal (Web)"/>
    <w:basedOn w:val="a"/>
    <w:unhideWhenUsed/>
    <w:qFormat/>
    <w:rsid w:val="000C2A44"/>
    <w:pPr>
      <w:widowControl/>
      <w:spacing w:before="100" w:beforeAutospacing="1" w:after="100" w:afterAutospacing="1"/>
      <w:jc w:val="left"/>
    </w:pPr>
    <w:rPr>
      <w:rFonts w:ascii="宋体" w:eastAsia="宋体" w:hAnsi="宋体" w:cs="宋体"/>
      <w:kern w:val="0"/>
      <w:sz w:val="24"/>
      <w:szCs w:val="20"/>
    </w:rPr>
  </w:style>
  <w:style w:type="paragraph" w:styleId="ac">
    <w:name w:val="Revision"/>
    <w:hidden/>
    <w:uiPriority w:val="99"/>
    <w:semiHidden/>
    <w:rsid w:val="00D2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746">
      <w:bodyDiv w:val="1"/>
      <w:marLeft w:val="0"/>
      <w:marRight w:val="0"/>
      <w:marTop w:val="0"/>
      <w:marBottom w:val="0"/>
      <w:divBdr>
        <w:top w:val="none" w:sz="0" w:space="0" w:color="auto"/>
        <w:left w:val="none" w:sz="0" w:space="0" w:color="auto"/>
        <w:bottom w:val="none" w:sz="0" w:space="0" w:color="auto"/>
        <w:right w:val="none" w:sz="0" w:space="0" w:color="auto"/>
      </w:divBdr>
    </w:div>
    <w:div w:id="36856407">
      <w:bodyDiv w:val="1"/>
      <w:marLeft w:val="0"/>
      <w:marRight w:val="0"/>
      <w:marTop w:val="0"/>
      <w:marBottom w:val="0"/>
      <w:divBdr>
        <w:top w:val="none" w:sz="0" w:space="0" w:color="auto"/>
        <w:left w:val="none" w:sz="0" w:space="0" w:color="auto"/>
        <w:bottom w:val="none" w:sz="0" w:space="0" w:color="auto"/>
        <w:right w:val="none" w:sz="0" w:space="0" w:color="auto"/>
      </w:divBdr>
    </w:div>
    <w:div w:id="50156852">
      <w:bodyDiv w:val="1"/>
      <w:marLeft w:val="0"/>
      <w:marRight w:val="0"/>
      <w:marTop w:val="0"/>
      <w:marBottom w:val="0"/>
      <w:divBdr>
        <w:top w:val="none" w:sz="0" w:space="0" w:color="auto"/>
        <w:left w:val="none" w:sz="0" w:space="0" w:color="auto"/>
        <w:bottom w:val="none" w:sz="0" w:space="0" w:color="auto"/>
        <w:right w:val="none" w:sz="0" w:space="0" w:color="auto"/>
      </w:divBdr>
    </w:div>
    <w:div w:id="77873115">
      <w:bodyDiv w:val="1"/>
      <w:marLeft w:val="0"/>
      <w:marRight w:val="0"/>
      <w:marTop w:val="0"/>
      <w:marBottom w:val="0"/>
      <w:divBdr>
        <w:top w:val="none" w:sz="0" w:space="0" w:color="auto"/>
        <w:left w:val="none" w:sz="0" w:space="0" w:color="auto"/>
        <w:bottom w:val="none" w:sz="0" w:space="0" w:color="auto"/>
        <w:right w:val="none" w:sz="0" w:space="0" w:color="auto"/>
      </w:divBdr>
    </w:div>
    <w:div w:id="89281621">
      <w:bodyDiv w:val="1"/>
      <w:marLeft w:val="0"/>
      <w:marRight w:val="0"/>
      <w:marTop w:val="0"/>
      <w:marBottom w:val="0"/>
      <w:divBdr>
        <w:top w:val="none" w:sz="0" w:space="0" w:color="auto"/>
        <w:left w:val="none" w:sz="0" w:space="0" w:color="auto"/>
        <w:bottom w:val="none" w:sz="0" w:space="0" w:color="auto"/>
        <w:right w:val="none" w:sz="0" w:space="0" w:color="auto"/>
      </w:divBdr>
    </w:div>
    <w:div w:id="119762783">
      <w:bodyDiv w:val="1"/>
      <w:marLeft w:val="0"/>
      <w:marRight w:val="0"/>
      <w:marTop w:val="0"/>
      <w:marBottom w:val="0"/>
      <w:divBdr>
        <w:top w:val="none" w:sz="0" w:space="0" w:color="auto"/>
        <w:left w:val="none" w:sz="0" w:space="0" w:color="auto"/>
        <w:bottom w:val="none" w:sz="0" w:space="0" w:color="auto"/>
        <w:right w:val="none" w:sz="0" w:space="0" w:color="auto"/>
      </w:divBdr>
    </w:div>
    <w:div w:id="255552695">
      <w:bodyDiv w:val="1"/>
      <w:marLeft w:val="0"/>
      <w:marRight w:val="0"/>
      <w:marTop w:val="0"/>
      <w:marBottom w:val="0"/>
      <w:divBdr>
        <w:top w:val="none" w:sz="0" w:space="0" w:color="auto"/>
        <w:left w:val="none" w:sz="0" w:space="0" w:color="auto"/>
        <w:bottom w:val="none" w:sz="0" w:space="0" w:color="auto"/>
        <w:right w:val="none" w:sz="0" w:space="0" w:color="auto"/>
      </w:divBdr>
    </w:div>
    <w:div w:id="271129497">
      <w:bodyDiv w:val="1"/>
      <w:marLeft w:val="0"/>
      <w:marRight w:val="0"/>
      <w:marTop w:val="0"/>
      <w:marBottom w:val="0"/>
      <w:divBdr>
        <w:top w:val="none" w:sz="0" w:space="0" w:color="auto"/>
        <w:left w:val="none" w:sz="0" w:space="0" w:color="auto"/>
        <w:bottom w:val="none" w:sz="0" w:space="0" w:color="auto"/>
        <w:right w:val="none" w:sz="0" w:space="0" w:color="auto"/>
      </w:divBdr>
    </w:div>
    <w:div w:id="296835619">
      <w:bodyDiv w:val="1"/>
      <w:marLeft w:val="0"/>
      <w:marRight w:val="0"/>
      <w:marTop w:val="0"/>
      <w:marBottom w:val="0"/>
      <w:divBdr>
        <w:top w:val="none" w:sz="0" w:space="0" w:color="auto"/>
        <w:left w:val="none" w:sz="0" w:space="0" w:color="auto"/>
        <w:bottom w:val="none" w:sz="0" w:space="0" w:color="auto"/>
        <w:right w:val="none" w:sz="0" w:space="0" w:color="auto"/>
      </w:divBdr>
    </w:div>
    <w:div w:id="316881914">
      <w:bodyDiv w:val="1"/>
      <w:marLeft w:val="0"/>
      <w:marRight w:val="0"/>
      <w:marTop w:val="0"/>
      <w:marBottom w:val="0"/>
      <w:divBdr>
        <w:top w:val="none" w:sz="0" w:space="0" w:color="auto"/>
        <w:left w:val="none" w:sz="0" w:space="0" w:color="auto"/>
        <w:bottom w:val="none" w:sz="0" w:space="0" w:color="auto"/>
        <w:right w:val="none" w:sz="0" w:space="0" w:color="auto"/>
      </w:divBdr>
    </w:div>
    <w:div w:id="317268041">
      <w:bodyDiv w:val="1"/>
      <w:marLeft w:val="0"/>
      <w:marRight w:val="0"/>
      <w:marTop w:val="0"/>
      <w:marBottom w:val="0"/>
      <w:divBdr>
        <w:top w:val="none" w:sz="0" w:space="0" w:color="auto"/>
        <w:left w:val="none" w:sz="0" w:space="0" w:color="auto"/>
        <w:bottom w:val="none" w:sz="0" w:space="0" w:color="auto"/>
        <w:right w:val="none" w:sz="0" w:space="0" w:color="auto"/>
      </w:divBdr>
    </w:div>
    <w:div w:id="472140395">
      <w:bodyDiv w:val="1"/>
      <w:marLeft w:val="0"/>
      <w:marRight w:val="0"/>
      <w:marTop w:val="0"/>
      <w:marBottom w:val="0"/>
      <w:divBdr>
        <w:top w:val="none" w:sz="0" w:space="0" w:color="auto"/>
        <w:left w:val="none" w:sz="0" w:space="0" w:color="auto"/>
        <w:bottom w:val="none" w:sz="0" w:space="0" w:color="auto"/>
        <w:right w:val="none" w:sz="0" w:space="0" w:color="auto"/>
      </w:divBdr>
    </w:div>
    <w:div w:id="510804218">
      <w:bodyDiv w:val="1"/>
      <w:marLeft w:val="0"/>
      <w:marRight w:val="0"/>
      <w:marTop w:val="0"/>
      <w:marBottom w:val="0"/>
      <w:divBdr>
        <w:top w:val="none" w:sz="0" w:space="0" w:color="auto"/>
        <w:left w:val="none" w:sz="0" w:space="0" w:color="auto"/>
        <w:bottom w:val="none" w:sz="0" w:space="0" w:color="auto"/>
        <w:right w:val="none" w:sz="0" w:space="0" w:color="auto"/>
      </w:divBdr>
    </w:div>
    <w:div w:id="528445815">
      <w:bodyDiv w:val="1"/>
      <w:marLeft w:val="0"/>
      <w:marRight w:val="0"/>
      <w:marTop w:val="0"/>
      <w:marBottom w:val="0"/>
      <w:divBdr>
        <w:top w:val="none" w:sz="0" w:space="0" w:color="auto"/>
        <w:left w:val="none" w:sz="0" w:space="0" w:color="auto"/>
        <w:bottom w:val="none" w:sz="0" w:space="0" w:color="auto"/>
        <w:right w:val="none" w:sz="0" w:space="0" w:color="auto"/>
      </w:divBdr>
    </w:div>
    <w:div w:id="667749010">
      <w:bodyDiv w:val="1"/>
      <w:marLeft w:val="0"/>
      <w:marRight w:val="0"/>
      <w:marTop w:val="0"/>
      <w:marBottom w:val="0"/>
      <w:divBdr>
        <w:top w:val="none" w:sz="0" w:space="0" w:color="auto"/>
        <w:left w:val="none" w:sz="0" w:space="0" w:color="auto"/>
        <w:bottom w:val="none" w:sz="0" w:space="0" w:color="auto"/>
        <w:right w:val="none" w:sz="0" w:space="0" w:color="auto"/>
      </w:divBdr>
    </w:div>
    <w:div w:id="814101615">
      <w:bodyDiv w:val="1"/>
      <w:marLeft w:val="0"/>
      <w:marRight w:val="0"/>
      <w:marTop w:val="0"/>
      <w:marBottom w:val="0"/>
      <w:divBdr>
        <w:top w:val="none" w:sz="0" w:space="0" w:color="auto"/>
        <w:left w:val="none" w:sz="0" w:space="0" w:color="auto"/>
        <w:bottom w:val="none" w:sz="0" w:space="0" w:color="auto"/>
        <w:right w:val="none" w:sz="0" w:space="0" w:color="auto"/>
      </w:divBdr>
    </w:div>
    <w:div w:id="911811420">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none" w:sz="0" w:space="0" w:color="auto"/>
        <w:bottom w:val="none" w:sz="0" w:space="0" w:color="auto"/>
        <w:right w:val="none" w:sz="0" w:space="0" w:color="auto"/>
      </w:divBdr>
    </w:div>
    <w:div w:id="953556486">
      <w:bodyDiv w:val="1"/>
      <w:marLeft w:val="0"/>
      <w:marRight w:val="0"/>
      <w:marTop w:val="0"/>
      <w:marBottom w:val="0"/>
      <w:divBdr>
        <w:top w:val="none" w:sz="0" w:space="0" w:color="auto"/>
        <w:left w:val="none" w:sz="0" w:space="0" w:color="auto"/>
        <w:bottom w:val="none" w:sz="0" w:space="0" w:color="auto"/>
        <w:right w:val="none" w:sz="0" w:space="0" w:color="auto"/>
      </w:divBdr>
    </w:div>
    <w:div w:id="1048644639">
      <w:bodyDiv w:val="1"/>
      <w:marLeft w:val="0"/>
      <w:marRight w:val="0"/>
      <w:marTop w:val="0"/>
      <w:marBottom w:val="0"/>
      <w:divBdr>
        <w:top w:val="none" w:sz="0" w:space="0" w:color="auto"/>
        <w:left w:val="none" w:sz="0" w:space="0" w:color="auto"/>
        <w:bottom w:val="none" w:sz="0" w:space="0" w:color="auto"/>
        <w:right w:val="none" w:sz="0" w:space="0" w:color="auto"/>
      </w:divBdr>
    </w:div>
    <w:div w:id="1051271549">
      <w:bodyDiv w:val="1"/>
      <w:marLeft w:val="0"/>
      <w:marRight w:val="0"/>
      <w:marTop w:val="0"/>
      <w:marBottom w:val="0"/>
      <w:divBdr>
        <w:top w:val="none" w:sz="0" w:space="0" w:color="auto"/>
        <w:left w:val="none" w:sz="0" w:space="0" w:color="auto"/>
        <w:bottom w:val="none" w:sz="0" w:space="0" w:color="auto"/>
        <w:right w:val="none" w:sz="0" w:space="0" w:color="auto"/>
      </w:divBdr>
    </w:div>
    <w:div w:id="1112357342">
      <w:bodyDiv w:val="1"/>
      <w:marLeft w:val="0"/>
      <w:marRight w:val="0"/>
      <w:marTop w:val="0"/>
      <w:marBottom w:val="0"/>
      <w:divBdr>
        <w:top w:val="none" w:sz="0" w:space="0" w:color="auto"/>
        <w:left w:val="none" w:sz="0" w:space="0" w:color="auto"/>
        <w:bottom w:val="none" w:sz="0" w:space="0" w:color="auto"/>
        <w:right w:val="none" w:sz="0" w:space="0" w:color="auto"/>
      </w:divBdr>
    </w:div>
    <w:div w:id="1131367917">
      <w:bodyDiv w:val="1"/>
      <w:marLeft w:val="0"/>
      <w:marRight w:val="0"/>
      <w:marTop w:val="0"/>
      <w:marBottom w:val="0"/>
      <w:divBdr>
        <w:top w:val="none" w:sz="0" w:space="0" w:color="auto"/>
        <w:left w:val="none" w:sz="0" w:space="0" w:color="auto"/>
        <w:bottom w:val="none" w:sz="0" w:space="0" w:color="auto"/>
        <w:right w:val="none" w:sz="0" w:space="0" w:color="auto"/>
      </w:divBdr>
    </w:div>
    <w:div w:id="1148013037">
      <w:bodyDiv w:val="1"/>
      <w:marLeft w:val="0"/>
      <w:marRight w:val="0"/>
      <w:marTop w:val="0"/>
      <w:marBottom w:val="0"/>
      <w:divBdr>
        <w:top w:val="none" w:sz="0" w:space="0" w:color="auto"/>
        <w:left w:val="none" w:sz="0" w:space="0" w:color="auto"/>
        <w:bottom w:val="none" w:sz="0" w:space="0" w:color="auto"/>
        <w:right w:val="none" w:sz="0" w:space="0" w:color="auto"/>
      </w:divBdr>
    </w:div>
    <w:div w:id="1219050920">
      <w:bodyDiv w:val="1"/>
      <w:marLeft w:val="0"/>
      <w:marRight w:val="0"/>
      <w:marTop w:val="0"/>
      <w:marBottom w:val="0"/>
      <w:divBdr>
        <w:top w:val="none" w:sz="0" w:space="0" w:color="auto"/>
        <w:left w:val="none" w:sz="0" w:space="0" w:color="auto"/>
        <w:bottom w:val="none" w:sz="0" w:space="0" w:color="auto"/>
        <w:right w:val="none" w:sz="0" w:space="0" w:color="auto"/>
      </w:divBdr>
    </w:div>
    <w:div w:id="1233391651">
      <w:bodyDiv w:val="1"/>
      <w:marLeft w:val="0"/>
      <w:marRight w:val="0"/>
      <w:marTop w:val="0"/>
      <w:marBottom w:val="0"/>
      <w:divBdr>
        <w:top w:val="none" w:sz="0" w:space="0" w:color="auto"/>
        <w:left w:val="none" w:sz="0" w:space="0" w:color="auto"/>
        <w:bottom w:val="none" w:sz="0" w:space="0" w:color="auto"/>
        <w:right w:val="none" w:sz="0" w:space="0" w:color="auto"/>
      </w:divBdr>
    </w:div>
    <w:div w:id="1259487657">
      <w:bodyDiv w:val="1"/>
      <w:marLeft w:val="0"/>
      <w:marRight w:val="0"/>
      <w:marTop w:val="0"/>
      <w:marBottom w:val="0"/>
      <w:divBdr>
        <w:top w:val="none" w:sz="0" w:space="0" w:color="auto"/>
        <w:left w:val="none" w:sz="0" w:space="0" w:color="auto"/>
        <w:bottom w:val="none" w:sz="0" w:space="0" w:color="auto"/>
        <w:right w:val="none" w:sz="0" w:space="0" w:color="auto"/>
      </w:divBdr>
    </w:div>
    <w:div w:id="1333603869">
      <w:bodyDiv w:val="1"/>
      <w:marLeft w:val="0"/>
      <w:marRight w:val="0"/>
      <w:marTop w:val="0"/>
      <w:marBottom w:val="0"/>
      <w:divBdr>
        <w:top w:val="none" w:sz="0" w:space="0" w:color="auto"/>
        <w:left w:val="none" w:sz="0" w:space="0" w:color="auto"/>
        <w:bottom w:val="none" w:sz="0" w:space="0" w:color="auto"/>
        <w:right w:val="none" w:sz="0" w:space="0" w:color="auto"/>
      </w:divBdr>
    </w:div>
    <w:div w:id="1383748864">
      <w:bodyDiv w:val="1"/>
      <w:marLeft w:val="0"/>
      <w:marRight w:val="0"/>
      <w:marTop w:val="0"/>
      <w:marBottom w:val="0"/>
      <w:divBdr>
        <w:top w:val="none" w:sz="0" w:space="0" w:color="auto"/>
        <w:left w:val="none" w:sz="0" w:space="0" w:color="auto"/>
        <w:bottom w:val="none" w:sz="0" w:space="0" w:color="auto"/>
        <w:right w:val="none" w:sz="0" w:space="0" w:color="auto"/>
      </w:divBdr>
    </w:div>
    <w:div w:id="1389496604">
      <w:bodyDiv w:val="1"/>
      <w:marLeft w:val="0"/>
      <w:marRight w:val="0"/>
      <w:marTop w:val="0"/>
      <w:marBottom w:val="0"/>
      <w:divBdr>
        <w:top w:val="none" w:sz="0" w:space="0" w:color="auto"/>
        <w:left w:val="none" w:sz="0" w:space="0" w:color="auto"/>
        <w:bottom w:val="none" w:sz="0" w:space="0" w:color="auto"/>
        <w:right w:val="none" w:sz="0" w:space="0" w:color="auto"/>
      </w:divBdr>
    </w:div>
    <w:div w:id="1420785179">
      <w:bodyDiv w:val="1"/>
      <w:marLeft w:val="0"/>
      <w:marRight w:val="0"/>
      <w:marTop w:val="0"/>
      <w:marBottom w:val="0"/>
      <w:divBdr>
        <w:top w:val="none" w:sz="0" w:space="0" w:color="auto"/>
        <w:left w:val="none" w:sz="0" w:space="0" w:color="auto"/>
        <w:bottom w:val="none" w:sz="0" w:space="0" w:color="auto"/>
        <w:right w:val="none" w:sz="0" w:space="0" w:color="auto"/>
      </w:divBdr>
    </w:div>
    <w:div w:id="1540513050">
      <w:bodyDiv w:val="1"/>
      <w:marLeft w:val="0"/>
      <w:marRight w:val="0"/>
      <w:marTop w:val="0"/>
      <w:marBottom w:val="0"/>
      <w:divBdr>
        <w:top w:val="none" w:sz="0" w:space="0" w:color="auto"/>
        <w:left w:val="none" w:sz="0" w:space="0" w:color="auto"/>
        <w:bottom w:val="none" w:sz="0" w:space="0" w:color="auto"/>
        <w:right w:val="none" w:sz="0" w:space="0" w:color="auto"/>
      </w:divBdr>
    </w:div>
    <w:div w:id="1702512174">
      <w:bodyDiv w:val="1"/>
      <w:marLeft w:val="0"/>
      <w:marRight w:val="0"/>
      <w:marTop w:val="0"/>
      <w:marBottom w:val="0"/>
      <w:divBdr>
        <w:top w:val="none" w:sz="0" w:space="0" w:color="auto"/>
        <w:left w:val="none" w:sz="0" w:space="0" w:color="auto"/>
        <w:bottom w:val="none" w:sz="0" w:space="0" w:color="auto"/>
        <w:right w:val="none" w:sz="0" w:space="0" w:color="auto"/>
      </w:divBdr>
    </w:div>
    <w:div w:id="1746105144">
      <w:bodyDiv w:val="1"/>
      <w:marLeft w:val="0"/>
      <w:marRight w:val="0"/>
      <w:marTop w:val="0"/>
      <w:marBottom w:val="0"/>
      <w:divBdr>
        <w:top w:val="none" w:sz="0" w:space="0" w:color="auto"/>
        <w:left w:val="none" w:sz="0" w:space="0" w:color="auto"/>
        <w:bottom w:val="none" w:sz="0" w:space="0" w:color="auto"/>
        <w:right w:val="none" w:sz="0" w:space="0" w:color="auto"/>
      </w:divBdr>
    </w:div>
    <w:div w:id="1862665338">
      <w:bodyDiv w:val="1"/>
      <w:marLeft w:val="0"/>
      <w:marRight w:val="0"/>
      <w:marTop w:val="0"/>
      <w:marBottom w:val="0"/>
      <w:divBdr>
        <w:top w:val="none" w:sz="0" w:space="0" w:color="auto"/>
        <w:left w:val="none" w:sz="0" w:space="0" w:color="auto"/>
        <w:bottom w:val="none" w:sz="0" w:space="0" w:color="auto"/>
        <w:right w:val="none" w:sz="0" w:space="0" w:color="auto"/>
      </w:divBdr>
    </w:div>
    <w:div w:id="1899703833">
      <w:bodyDiv w:val="1"/>
      <w:marLeft w:val="0"/>
      <w:marRight w:val="0"/>
      <w:marTop w:val="0"/>
      <w:marBottom w:val="0"/>
      <w:divBdr>
        <w:top w:val="none" w:sz="0" w:space="0" w:color="auto"/>
        <w:left w:val="none" w:sz="0" w:space="0" w:color="auto"/>
        <w:bottom w:val="none" w:sz="0" w:space="0" w:color="auto"/>
        <w:right w:val="none" w:sz="0" w:space="0" w:color="auto"/>
      </w:divBdr>
    </w:div>
    <w:div w:id="1947692400">
      <w:bodyDiv w:val="1"/>
      <w:marLeft w:val="0"/>
      <w:marRight w:val="0"/>
      <w:marTop w:val="0"/>
      <w:marBottom w:val="0"/>
      <w:divBdr>
        <w:top w:val="none" w:sz="0" w:space="0" w:color="auto"/>
        <w:left w:val="none" w:sz="0" w:space="0" w:color="auto"/>
        <w:bottom w:val="none" w:sz="0" w:space="0" w:color="auto"/>
        <w:right w:val="none" w:sz="0" w:space="0" w:color="auto"/>
      </w:divBdr>
    </w:div>
    <w:div w:id="2055038764">
      <w:bodyDiv w:val="1"/>
      <w:marLeft w:val="0"/>
      <w:marRight w:val="0"/>
      <w:marTop w:val="0"/>
      <w:marBottom w:val="0"/>
      <w:divBdr>
        <w:top w:val="none" w:sz="0" w:space="0" w:color="auto"/>
        <w:left w:val="none" w:sz="0" w:space="0" w:color="auto"/>
        <w:bottom w:val="none" w:sz="0" w:space="0" w:color="auto"/>
        <w:right w:val="none" w:sz="0" w:space="0" w:color="auto"/>
      </w:divBdr>
    </w:div>
    <w:div w:id="2112317640">
      <w:bodyDiv w:val="1"/>
      <w:marLeft w:val="0"/>
      <w:marRight w:val="0"/>
      <w:marTop w:val="0"/>
      <w:marBottom w:val="0"/>
      <w:divBdr>
        <w:top w:val="none" w:sz="0" w:space="0" w:color="auto"/>
        <w:left w:val="none" w:sz="0" w:space="0" w:color="auto"/>
        <w:bottom w:val="none" w:sz="0" w:space="0" w:color="auto"/>
        <w:right w:val="none" w:sz="0" w:space="0" w:color="auto"/>
      </w:divBdr>
    </w:div>
    <w:div w:id="2121413276">
      <w:bodyDiv w:val="1"/>
      <w:marLeft w:val="0"/>
      <w:marRight w:val="0"/>
      <w:marTop w:val="0"/>
      <w:marBottom w:val="0"/>
      <w:divBdr>
        <w:top w:val="none" w:sz="0" w:space="0" w:color="auto"/>
        <w:left w:val="none" w:sz="0" w:space="0" w:color="auto"/>
        <w:bottom w:val="none" w:sz="0" w:space="0" w:color="auto"/>
        <w:right w:val="none" w:sz="0" w:space="0" w:color="auto"/>
      </w:divBdr>
    </w:div>
    <w:div w:id="21425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F93F-465D-4DC7-A53E-3F4D3781F003}">
  <ds:schemaRefs/>
</ds:datastoreItem>
</file>

<file path=customXml/itemProps2.xml><?xml version="1.0" encoding="utf-8"?>
<ds:datastoreItem xmlns:ds="http://schemas.openxmlformats.org/officeDocument/2006/customXml" ds:itemID="{1FAF91F6-1B76-4353-BDEB-1BC168CC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王凯宇</dc:creator>
  <cp:lastModifiedBy>陈婷婷1125</cp:lastModifiedBy>
  <cp:revision>16</cp:revision>
  <dcterms:created xsi:type="dcterms:W3CDTF">2024-11-22T05:36:00Z</dcterms:created>
  <dcterms:modified xsi:type="dcterms:W3CDTF">2024-11-26T04:02:00Z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{04F9F93F-465D-4DC7-A53E-3F4D3781F003}</vt:lpwstr>
  </property>
</Properties>
</file>