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F58" w:rsidRDefault="00385F58" w:rsidP="00385F58">
      <w:pPr>
        <w:snapToGrid w:val="0"/>
        <w:spacing w:line="360" w:lineRule="auto"/>
        <w:ind w:right="26"/>
        <w:jc w:val="center"/>
        <w:rPr>
          <w:rFonts w:ascii="仿宋_GB2312" w:eastAsia="仿宋_GB2312" w:hAnsi="Arial" w:cs="Arial"/>
          <w:b/>
          <w:sz w:val="32"/>
          <w:szCs w:val="32"/>
        </w:rPr>
      </w:pPr>
      <w:r w:rsidRPr="00385F58">
        <w:rPr>
          <w:rFonts w:ascii="仿宋_GB2312" w:eastAsia="仿宋_GB2312" w:hAnsi="Arial" w:cs="Arial"/>
          <w:b/>
          <w:sz w:val="32"/>
          <w:szCs w:val="32"/>
        </w:rPr>
        <w:t>万家基金管理有限公司关于在</w:t>
      </w:r>
      <w:r w:rsidRPr="00385F58">
        <w:rPr>
          <w:rFonts w:ascii="仿宋_GB2312" w:eastAsia="仿宋_GB2312" w:hAnsi="Arial" w:cs="Arial" w:hint="eastAsia"/>
          <w:b/>
          <w:sz w:val="32"/>
          <w:szCs w:val="32"/>
        </w:rPr>
        <w:t>交通银行</w:t>
      </w:r>
      <w:r w:rsidRPr="00385F58">
        <w:rPr>
          <w:rFonts w:ascii="仿宋_GB2312" w:eastAsia="仿宋_GB2312" w:hAnsi="Arial" w:cs="Arial"/>
          <w:b/>
          <w:sz w:val="32"/>
          <w:szCs w:val="32"/>
        </w:rPr>
        <w:t>开通旗下部分基金转换业务</w:t>
      </w:r>
      <w:r w:rsidR="00411026">
        <w:rPr>
          <w:rFonts w:ascii="仿宋_GB2312" w:eastAsia="仿宋_GB2312" w:hAnsi="Arial" w:cs="Arial" w:hint="eastAsia"/>
          <w:b/>
          <w:sz w:val="32"/>
          <w:szCs w:val="32"/>
        </w:rPr>
        <w:t>、</w:t>
      </w:r>
      <w:proofErr w:type="gramStart"/>
      <w:r w:rsidR="00411026">
        <w:rPr>
          <w:rFonts w:ascii="仿宋_GB2312" w:eastAsia="仿宋_GB2312" w:hAnsi="Arial" w:cs="Arial" w:hint="eastAsia"/>
          <w:b/>
          <w:sz w:val="32"/>
          <w:szCs w:val="32"/>
        </w:rPr>
        <w:t>定投业务及</w:t>
      </w:r>
      <w:r w:rsidR="001B5D15">
        <w:rPr>
          <w:rFonts w:ascii="仿宋_GB2312" w:eastAsia="仿宋_GB2312" w:hAnsi="Arial" w:cs="Arial" w:hint="eastAsia"/>
          <w:b/>
          <w:sz w:val="32"/>
          <w:szCs w:val="32"/>
        </w:rPr>
        <w:t>定投</w:t>
      </w:r>
      <w:r w:rsidR="00411026">
        <w:rPr>
          <w:rFonts w:ascii="仿宋_GB2312" w:eastAsia="仿宋_GB2312" w:hAnsi="Arial" w:cs="Arial" w:hint="eastAsia"/>
          <w:b/>
          <w:sz w:val="32"/>
          <w:szCs w:val="32"/>
        </w:rPr>
        <w:t>优惠</w:t>
      </w:r>
      <w:proofErr w:type="gramEnd"/>
      <w:r w:rsidR="001B5D15">
        <w:rPr>
          <w:rFonts w:ascii="仿宋_GB2312" w:eastAsia="仿宋_GB2312" w:hAnsi="Arial" w:cs="Arial" w:hint="eastAsia"/>
          <w:b/>
          <w:sz w:val="32"/>
          <w:szCs w:val="32"/>
        </w:rPr>
        <w:t>业务</w:t>
      </w:r>
      <w:r w:rsidRPr="00385F58">
        <w:rPr>
          <w:rFonts w:ascii="仿宋_GB2312" w:eastAsia="仿宋_GB2312" w:hAnsi="Arial" w:cs="Arial"/>
          <w:b/>
          <w:sz w:val="32"/>
          <w:szCs w:val="32"/>
        </w:rPr>
        <w:t>的公告</w:t>
      </w:r>
    </w:p>
    <w:p w:rsidR="001B5D15" w:rsidRPr="00385F58" w:rsidRDefault="001B5D15" w:rsidP="00385F58">
      <w:pPr>
        <w:snapToGrid w:val="0"/>
        <w:spacing w:line="360" w:lineRule="auto"/>
        <w:ind w:right="26"/>
        <w:jc w:val="center"/>
        <w:rPr>
          <w:rFonts w:ascii="仿宋_GB2312" w:eastAsia="仿宋_GB2312" w:hAnsi="Arial" w:cs="Arial"/>
          <w:b/>
          <w:sz w:val="32"/>
          <w:szCs w:val="32"/>
        </w:rPr>
      </w:pPr>
    </w:p>
    <w:p w:rsidR="00385F58" w:rsidRPr="00385F58" w:rsidRDefault="00385F58" w:rsidP="00385F58">
      <w:pPr>
        <w:snapToGrid w:val="0"/>
        <w:spacing w:line="360" w:lineRule="auto"/>
        <w:ind w:right="26" w:firstLineChars="189" w:firstLine="567"/>
        <w:rPr>
          <w:rFonts w:ascii="仿宋_GB2312" w:eastAsia="仿宋_GB2312" w:hAnsi="Arial" w:cs="Arial"/>
          <w:sz w:val="30"/>
        </w:rPr>
      </w:pPr>
      <w:r w:rsidRPr="00385F58">
        <w:rPr>
          <w:rFonts w:ascii="仿宋_GB2312" w:eastAsia="仿宋_GB2312" w:hAnsi="Arial" w:cs="Arial"/>
          <w:sz w:val="30"/>
        </w:rPr>
        <w:t>一、开通旗下部分基金转换业务</w:t>
      </w:r>
    </w:p>
    <w:p w:rsidR="00385F58" w:rsidRPr="00385F58" w:rsidRDefault="00385F58" w:rsidP="00385F58">
      <w:pPr>
        <w:snapToGrid w:val="0"/>
        <w:spacing w:line="360" w:lineRule="auto"/>
        <w:ind w:right="26" w:firstLineChars="189" w:firstLine="567"/>
        <w:rPr>
          <w:rFonts w:ascii="仿宋_GB2312" w:eastAsia="仿宋_GB2312" w:hAnsi="Arial" w:cs="Arial"/>
          <w:sz w:val="30"/>
        </w:rPr>
      </w:pPr>
      <w:r w:rsidRPr="00385F58">
        <w:rPr>
          <w:rFonts w:ascii="仿宋_GB2312" w:eastAsia="仿宋_GB2312" w:hAnsi="Arial" w:cs="Arial"/>
          <w:sz w:val="30"/>
        </w:rPr>
        <w:t>为满足广大投资者的理财需求，根据万家基金管理有限公司（以下简称"本公司"）与</w:t>
      </w:r>
      <w:r w:rsidRPr="00883F6C">
        <w:rPr>
          <w:rFonts w:ascii="仿宋_GB2312" w:eastAsia="仿宋_GB2312"/>
          <w:sz w:val="30"/>
        </w:rPr>
        <w:t>交通银行</w:t>
      </w:r>
      <w:r w:rsidRPr="00883F6C">
        <w:rPr>
          <w:rFonts w:ascii="仿宋_GB2312" w:eastAsia="仿宋_GB2312" w:hAnsi="Arial" w:cs="Arial"/>
          <w:sz w:val="30"/>
        </w:rPr>
        <w:t>股份有限公司</w:t>
      </w:r>
      <w:r w:rsidRPr="00883F6C">
        <w:rPr>
          <w:rFonts w:ascii="仿宋_GB2312" w:eastAsia="仿宋_GB2312" w:hAnsi="Arial" w:cs="Arial"/>
          <w:sz w:val="30"/>
          <w:szCs w:val="24"/>
        </w:rPr>
        <w:t>（以下简称"</w:t>
      </w:r>
      <w:r w:rsidRPr="00883F6C">
        <w:rPr>
          <w:rFonts w:ascii="仿宋_GB2312" w:eastAsia="仿宋_GB2312" w:hAnsi="Arial" w:cs="Arial" w:hint="eastAsia"/>
          <w:sz w:val="30"/>
          <w:szCs w:val="24"/>
        </w:rPr>
        <w:t>交通银行</w:t>
      </w:r>
      <w:r w:rsidRPr="00883F6C">
        <w:rPr>
          <w:rFonts w:ascii="仿宋_GB2312" w:eastAsia="仿宋_GB2312" w:hAnsi="Arial" w:cs="Arial"/>
          <w:sz w:val="30"/>
          <w:szCs w:val="24"/>
        </w:rPr>
        <w:t>"）</w:t>
      </w:r>
      <w:r>
        <w:rPr>
          <w:rFonts w:ascii="仿宋_GB2312" w:eastAsia="仿宋_GB2312" w:hAnsi="Arial" w:cs="Arial" w:hint="eastAsia"/>
          <w:sz w:val="30"/>
        </w:rPr>
        <w:t>协商一致</w:t>
      </w:r>
      <w:r w:rsidRPr="00385F58">
        <w:rPr>
          <w:rFonts w:ascii="仿宋_GB2312" w:eastAsia="仿宋_GB2312" w:hAnsi="Arial" w:cs="Arial"/>
          <w:sz w:val="30"/>
        </w:rPr>
        <w:t>，</w:t>
      </w:r>
      <w:r>
        <w:rPr>
          <w:rFonts w:ascii="仿宋_GB2312" w:eastAsia="仿宋_GB2312" w:hAnsi="Arial" w:cs="Arial" w:hint="eastAsia"/>
          <w:sz w:val="30"/>
        </w:rPr>
        <w:t>交通银行</w:t>
      </w:r>
      <w:r w:rsidRPr="00385F58">
        <w:rPr>
          <w:rFonts w:ascii="仿宋_GB2312" w:eastAsia="仿宋_GB2312" w:hAnsi="Arial" w:cs="Arial"/>
          <w:sz w:val="30"/>
        </w:rPr>
        <w:t>自201</w:t>
      </w:r>
      <w:r>
        <w:rPr>
          <w:rFonts w:ascii="仿宋_GB2312" w:eastAsia="仿宋_GB2312" w:hAnsi="Arial" w:cs="Arial" w:hint="eastAsia"/>
          <w:sz w:val="30"/>
        </w:rPr>
        <w:t>4</w:t>
      </w:r>
      <w:r w:rsidRPr="00385F58">
        <w:rPr>
          <w:rFonts w:ascii="仿宋_GB2312" w:eastAsia="仿宋_GB2312" w:hAnsi="Arial" w:cs="Arial"/>
          <w:sz w:val="30"/>
        </w:rPr>
        <w:t>年</w:t>
      </w:r>
      <w:r>
        <w:rPr>
          <w:rFonts w:ascii="仿宋_GB2312" w:eastAsia="仿宋_GB2312" w:hAnsi="Arial" w:cs="Arial" w:hint="eastAsia"/>
          <w:sz w:val="30"/>
        </w:rPr>
        <w:t>7</w:t>
      </w:r>
      <w:r w:rsidRPr="00385F58">
        <w:rPr>
          <w:rFonts w:ascii="仿宋_GB2312" w:eastAsia="仿宋_GB2312" w:hAnsi="Arial" w:cs="Arial"/>
          <w:sz w:val="30"/>
        </w:rPr>
        <w:t>月</w:t>
      </w:r>
      <w:r>
        <w:rPr>
          <w:rFonts w:ascii="仿宋_GB2312" w:eastAsia="仿宋_GB2312" w:hAnsi="Arial" w:cs="Arial" w:hint="eastAsia"/>
          <w:sz w:val="30"/>
        </w:rPr>
        <w:t>11</w:t>
      </w:r>
      <w:r w:rsidRPr="00385F58">
        <w:rPr>
          <w:rFonts w:ascii="仿宋_GB2312" w:eastAsia="仿宋_GB2312" w:hAnsi="Arial" w:cs="Arial"/>
          <w:sz w:val="30"/>
        </w:rPr>
        <w:t>日起开通本公司旗下部分基金产品之间的转换业务。</w:t>
      </w:r>
    </w:p>
    <w:p w:rsidR="00385F58" w:rsidRPr="00385F58" w:rsidRDefault="00385F58" w:rsidP="00385F58">
      <w:pPr>
        <w:snapToGrid w:val="0"/>
        <w:spacing w:line="360" w:lineRule="auto"/>
        <w:ind w:right="26" w:firstLineChars="189" w:firstLine="567"/>
        <w:rPr>
          <w:rFonts w:ascii="仿宋_GB2312" w:eastAsia="仿宋_GB2312" w:hAnsi="Arial" w:cs="Arial"/>
          <w:sz w:val="30"/>
        </w:rPr>
      </w:pPr>
      <w:r w:rsidRPr="00385F58">
        <w:rPr>
          <w:rFonts w:ascii="仿宋_GB2312" w:eastAsia="仿宋_GB2312" w:hAnsi="Arial" w:cs="Arial"/>
          <w:sz w:val="30"/>
        </w:rPr>
        <w:t>1、开通转换业务的基金：</w:t>
      </w:r>
    </w:p>
    <w:p w:rsidR="00385F58" w:rsidRPr="00385F58" w:rsidRDefault="00385F58" w:rsidP="00385F58">
      <w:pPr>
        <w:snapToGrid w:val="0"/>
        <w:spacing w:line="360" w:lineRule="auto"/>
        <w:ind w:right="26" w:firstLineChars="189" w:firstLine="567"/>
        <w:rPr>
          <w:rFonts w:ascii="仿宋_GB2312" w:eastAsia="仿宋_GB2312" w:hAnsi="Arial" w:cs="Arial"/>
          <w:sz w:val="30"/>
        </w:rPr>
      </w:pPr>
      <w:r w:rsidRPr="00385F58">
        <w:rPr>
          <w:rFonts w:ascii="仿宋_GB2312" w:eastAsia="仿宋_GB2312" w:hAnsi="Arial" w:cs="Arial"/>
          <w:sz w:val="30"/>
        </w:rPr>
        <w:t>（1）</w:t>
      </w:r>
      <w:r w:rsidR="008972DF" w:rsidRPr="008972DF">
        <w:rPr>
          <w:rFonts w:ascii="仿宋_GB2312" w:eastAsia="仿宋_GB2312" w:hAnsi="Arial" w:cs="Arial"/>
          <w:sz w:val="30"/>
        </w:rPr>
        <w:t>万家行业优选股票型证券投资基金（LOF）（基金简称：万家</w:t>
      </w:r>
      <w:r w:rsidR="008972DF" w:rsidRPr="008972DF">
        <w:rPr>
          <w:rFonts w:ascii="仿宋_GB2312" w:eastAsia="仿宋_GB2312" w:hAnsi="Arial" w:cs="Arial" w:hint="eastAsia"/>
          <w:sz w:val="30"/>
        </w:rPr>
        <w:t>优选</w:t>
      </w:r>
      <w:r w:rsidR="008972DF" w:rsidRPr="008972DF">
        <w:rPr>
          <w:rFonts w:ascii="仿宋_GB2312" w:eastAsia="仿宋_GB2312" w:hAnsi="Arial" w:cs="Arial"/>
          <w:sz w:val="30"/>
        </w:rPr>
        <w:t>，基金代码：161903）</w:t>
      </w:r>
      <w:r w:rsidR="008972DF">
        <w:rPr>
          <w:rFonts w:ascii="仿宋_GB2312" w:eastAsia="仿宋_GB2312" w:hAnsi="Arial" w:cs="Arial" w:hint="eastAsia"/>
          <w:sz w:val="30"/>
        </w:rPr>
        <w:t>、</w:t>
      </w:r>
      <w:r w:rsidRPr="00385F58">
        <w:rPr>
          <w:rFonts w:ascii="仿宋_GB2312" w:eastAsia="仿宋_GB2312" w:hAnsi="Arial" w:cs="Arial"/>
          <w:sz w:val="30"/>
        </w:rPr>
        <w:t>万家增强收益债券型证券投资基金（简称：万家债券，基金代码：161902）、</w:t>
      </w:r>
      <w:r w:rsidR="00E03E9C" w:rsidRPr="00026C71">
        <w:rPr>
          <w:rFonts w:ascii="仿宋_GB2312" w:eastAsia="仿宋_GB2312" w:hAnsi="Arial" w:cs="Arial"/>
          <w:sz w:val="30"/>
        </w:rPr>
        <w:t>万家添利债券型证券投资基金（LOF）（</w:t>
      </w:r>
      <w:r w:rsidR="00E03E9C" w:rsidRPr="00026C71">
        <w:rPr>
          <w:rFonts w:ascii="仿宋_GB2312" w:eastAsia="仿宋_GB2312" w:hAnsi="Arial" w:cs="Arial" w:hint="eastAsia"/>
          <w:sz w:val="30"/>
        </w:rPr>
        <w:t>基金</w:t>
      </w:r>
      <w:r w:rsidR="00E03E9C" w:rsidRPr="00026C71">
        <w:rPr>
          <w:rFonts w:ascii="仿宋_GB2312" w:eastAsia="仿宋_GB2312" w:hAnsi="Arial" w:cs="Arial"/>
          <w:sz w:val="30"/>
        </w:rPr>
        <w:t>简称：万家添利</w:t>
      </w:r>
      <w:r w:rsidR="00E03E9C" w:rsidRPr="00026C71">
        <w:rPr>
          <w:rFonts w:ascii="仿宋_GB2312" w:eastAsia="仿宋_GB2312" w:hAnsi="Arial" w:cs="Arial" w:hint="eastAsia"/>
          <w:sz w:val="30"/>
        </w:rPr>
        <w:t>，代码：161908</w:t>
      </w:r>
      <w:r w:rsidR="00E03E9C" w:rsidRPr="00026C71">
        <w:rPr>
          <w:rFonts w:ascii="仿宋_GB2312" w:eastAsia="仿宋_GB2312" w:hAnsi="Arial" w:cs="Arial"/>
          <w:sz w:val="30"/>
        </w:rPr>
        <w:t>）</w:t>
      </w:r>
      <w:r w:rsidRPr="00385F58">
        <w:rPr>
          <w:rFonts w:ascii="仿宋_GB2312" w:eastAsia="仿宋_GB2312" w:hAnsi="Arial" w:cs="Arial"/>
          <w:sz w:val="30"/>
        </w:rPr>
        <w:t>之间的转换业务。</w:t>
      </w:r>
    </w:p>
    <w:p w:rsidR="00E03E9C" w:rsidRDefault="00385F58" w:rsidP="00385F58">
      <w:pPr>
        <w:snapToGrid w:val="0"/>
        <w:spacing w:line="360" w:lineRule="auto"/>
        <w:ind w:right="26" w:firstLineChars="189" w:firstLine="567"/>
        <w:rPr>
          <w:rFonts w:ascii="仿宋_GB2312" w:eastAsia="仿宋_GB2312" w:hAnsi="Arial" w:cs="Arial"/>
          <w:sz w:val="30"/>
        </w:rPr>
      </w:pPr>
      <w:r w:rsidRPr="00385F58">
        <w:rPr>
          <w:rFonts w:ascii="仿宋_GB2312" w:eastAsia="仿宋_GB2312" w:hAnsi="Arial" w:cs="Arial"/>
          <w:sz w:val="30"/>
        </w:rPr>
        <w:t>（2）</w:t>
      </w:r>
      <w:r w:rsidR="005A120C" w:rsidRPr="00385F58">
        <w:rPr>
          <w:rFonts w:ascii="仿宋_GB2312" w:eastAsia="仿宋_GB2312" w:hAnsi="Arial" w:cs="Arial"/>
          <w:sz w:val="30"/>
        </w:rPr>
        <w:t>万家180指数证券投资基金（简称：万家180，基金代码：519180）</w:t>
      </w:r>
      <w:r w:rsidR="005A120C">
        <w:rPr>
          <w:rFonts w:ascii="仿宋_GB2312" w:eastAsia="仿宋_GB2312" w:hAnsi="Arial" w:cs="Arial" w:hint="eastAsia"/>
          <w:sz w:val="30"/>
        </w:rPr>
        <w:t>、</w:t>
      </w:r>
      <w:r w:rsidR="005A120C" w:rsidRPr="00385F58">
        <w:rPr>
          <w:rFonts w:ascii="仿宋_GB2312" w:eastAsia="仿宋_GB2312" w:hAnsi="Arial" w:cs="Arial"/>
          <w:sz w:val="30"/>
        </w:rPr>
        <w:t>万家</w:t>
      </w:r>
      <w:proofErr w:type="gramStart"/>
      <w:r w:rsidR="005A120C" w:rsidRPr="00385F58">
        <w:rPr>
          <w:rFonts w:ascii="仿宋_GB2312" w:eastAsia="仿宋_GB2312" w:hAnsi="Arial" w:cs="Arial"/>
          <w:sz w:val="30"/>
        </w:rPr>
        <w:t>和谐增长</w:t>
      </w:r>
      <w:proofErr w:type="gramEnd"/>
      <w:r w:rsidR="005A120C" w:rsidRPr="00385F58">
        <w:rPr>
          <w:rFonts w:ascii="仿宋_GB2312" w:eastAsia="仿宋_GB2312" w:hAnsi="Arial" w:cs="Arial"/>
          <w:sz w:val="30"/>
        </w:rPr>
        <w:t>混合型证券投资基金（前端收费模式）（简称：万家和谐（前），基金代码：519181）</w:t>
      </w:r>
      <w:r w:rsidR="005A120C">
        <w:rPr>
          <w:rFonts w:ascii="仿宋_GB2312" w:eastAsia="仿宋_GB2312" w:hAnsi="Arial" w:cs="Arial" w:hint="eastAsia"/>
          <w:sz w:val="30"/>
        </w:rPr>
        <w:t>、</w:t>
      </w:r>
      <w:r w:rsidR="005A120C" w:rsidRPr="00385F58">
        <w:rPr>
          <w:rFonts w:ascii="仿宋_GB2312" w:eastAsia="仿宋_GB2312" w:hAnsi="Arial" w:cs="Arial"/>
          <w:sz w:val="30"/>
        </w:rPr>
        <w:t>万家双引擎灵活配置混合型证券投资基金（简称：万家引擎，基金代码：519183）、万家精选股票型证券投资基金（简称：万家精选，基金代码：519185）、万家稳健增利债券型证券投资基金（简称：万家稳增，基金代码：A类：519186，C类：519187）</w:t>
      </w:r>
      <w:r w:rsidR="005A120C">
        <w:rPr>
          <w:rFonts w:ascii="仿宋_GB2312" w:eastAsia="仿宋_GB2312" w:hAnsi="Arial" w:cs="Arial" w:hint="eastAsia"/>
          <w:sz w:val="30"/>
        </w:rPr>
        <w:t>、</w:t>
      </w:r>
      <w:r w:rsidR="005A120C" w:rsidRPr="00026C71">
        <w:rPr>
          <w:rFonts w:ascii="仿宋_GB2312" w:eastAsia="仿宋_GB2312" w:hAnsi="Arial" w:cs="Arial"/>
          <w:sz w:val="30"/>
        </w:rPr>
        <w:t>万</w:t>
      </w:r>
      <w:proofErr w:type="gramStart"/>
      <w:r w:rsidR="005A120C" w:rsidRPr="00026C71">
        <w:rPr>
          <w:rFonts w:ascii="仿宋_GB2312" w:eastAsia="仿宋_GB2312" w:hAnsi="Arial" w:cs="Arial"/>
          <w:sz w:val="30"/>
        </w:rPr>
        <w:t>家信用恒利</w:t>
      </w:r>
      <w:proofErr w:type="gramEnd"/>
      <w:r w:rsidR="005A120C" w:rsidRPr="00026C71">
        <w:rPr>
          <w:rFonts w:ascii="仿宋_GB2312" w:eastAsia="仿宋_GB2312" w:hAnsi="Arial" w:cs="Arial"/>
          <w:sz w:val="30"/>
        </w:rPr>
        <w:t>债券型证券投资基金</w:t>
      </w:r>
      <w:r w:rsidR="005A120C" w:rsidRPr="00026C71">
        <w:rPr>
          <w:rFonts w:ascii="仿宋_GB2312" w:eastAsia="仿宋_GB2312" w:hAnsi="Arial" w:cs="Arial" w:hint="eastAsia"/>
          <w:sz w:val="30"/>
        </w:rPr>
        <w:t>（基金简称：</w:t>
      </w:r>
      <w:r w:rsidR="005A120C" w:rsidRPr="00026C71">
        <w:rPr>
          <w:rFonts w:ascii="仿宋_GB2312" w:eastAsia="仿宋_GB2312" w:hAnsi="Arial" w:cs="Arial"/>
          <w:sz w:val="30"/>
        </w:rPr>
        <w:t>万家恒利</w:t>
      </w:r>
      <w:r w:rsidR="005A120C" w:rsidRPr="00026C71">
        <w:rPr>
          <w:rFonts w:ascii="仿宋_GB2312" w:eastAsia="仿宋_GB2312" w:hAnsi="Arial" w:cs="Arial" w:hint="eastAsia"/>
          <w:sz w:val="30"/>
        </w:rPr>
        <w:t>，基金代码：A类、</w:t>
      </w:r>
      <w:r w:rsidR="005A120C" w:rsidRPr="00026C71">
        <w:rPr>
          <w:rFonts w:ascii="仿宋_GB2312" w:eastAsia="仿宋_GB2312" w:hAnsi="Arial" w:cs="Arial"/>
          <w:sz w:val="30"/>
        </w:rPr>
        <w:t>519188</w:t>
      </w:r>
      <w:r w:rsidR="005A120C" w:rsidRPr="00026C71">
        <w:rPr>
          <w:rFonts w:ascii="仿宋_GB2312" w:eastAsia="仿宋_GB2312" w:hAnsi="Arial" w:cs="Arial" w:hint="eastAsia"/>
          <w:sz w:val="30"/>
        </w:rPr>
        <w:t>，C类、</w:t>
      </w:r>
      <w:r w:rsidR="005A120C" w:rsidRPr="00026C71">
        <w:rPr>
          <w:rFonts w:ascii="仿宋_GB2312" w:eastAsia="仿宋_GB2312" w:hAnsi="Arial" w:cs="Arial"/>
          <w:sz w:val="30"/>
        </w:rPr>
        <w:t>51918</w:t>
      </w:r>
      <w:r w:rsidR="005A120C" w:rsidRPr="00026C71">
        <w:rPr>
          <w:rFonts w:ascii="仿宋_GB2312" w:eastAsia="仿宋_GB2312" w:hAnsi="Arial" w:cs="Arial" w:hint="eastAsia"/>
          <w:sz w:val="30"/>
        </w:rPr>
        <w:t>9）</w:t>
      </w:r>
      <w:r w:rsidR="005A120C">
        <w:rPr>
          <w:rFonts w:ascii="仿宋_GB2312" w:eastAsia="仿宋_GB2312" w:hAnsi="Arial" w:cs="Arial" w:hint="eastAsia"/>
          <w:sz w:val="30"/>
        </w:rPr>
        <w:t>、</w:t>
      </w:r>
      <w:r w:rsidR="005A120C" w:rsidRPr="00026C71">
        <w:rPr>
          <w:rFonts w:ascii="仿宋_GB2312" w:eastAsia="仿宋_GB2312" w:hAnsi="Arial" w:cs="Arial"/>
          <w:sz w:val="30"/>
        </w:rPr>
        <w:t>万家岁得利定期开放债券型发起式证券投资基金（基金简称：万家</w:t>
      </w:r>
      <w:r w:rsidR="005A120C" w:rsidRPr="00026C71">
        <w:rPr>
          <w:rFonts w:ascii="仿宋_GB2312" w:eastAsia="仿宋_GB2312" w:hAnsi="Arial" w:cs="Arial" w:hint="eastAsia"/>
          <w:sz w:val="30"/>
        </w:rPr>
        <w:t>得利</w:t>
      </w:r>
      <w:r w:rsidR="005A120C" w:rsidRPr="00026C71">
        <w:rPr>
          <w:rFonts w:ascii="仿宋_GB2312" w:eastAsia="仿宋_GB2312" w:hAnsi="Arial" w:cs="Arial"/>
          <w:sz w:val="30"/>
        </w:rPr>
        <w:t>，基金代码：519190）</w:t>
      </w:r>
      <w:r w:rsidR="005A120C">
        <w:rPr>
          <w:rFonts w:ascii="仿宋_GB2312" w:eastAsia="仿宋_GB2312" w:hAnsi="Arial" w:cs="Arial" w:hint="eastAsia"/>
          <w:sz w:val="30"/>
        </w:rPr>
        <w:t>、</w:t>
      </w:r>
      <w:r w:rsidR="005A120C" w:rsidRPr="00026C71">
        <w:rPr>
          <w:rFonts w:ascii="仿宋_GB2312" w:eastAsia="仿宋_GB2312" w:hAnsi="Arial" w:cs="Arial"/>
          <w:sz w:val="30"/>
        </w:rPr>
        <w:lastRenderedPageBreak/>
        <w:t>万家货币市场证券投资基金（基金简称：万家货币，基金代码：</w:t>
      </w:r>
      <w:r w:rsidR="005A120C" w:rsidRPr="00026C71">
        <w:rPr>
          <w:rFonts w:ascii="仿宋_GB2312" w:eastAsia="仿宋_GB2312" w:hAnsi="Arial" w:cs="Arial" w:hint="eastAsia"/>
          <w:sz w:val="30"/>
        </w:rPr>
        <w:t>A类/</w:t>
      </w:r>
      <w:r w:rsidR="005A120C" w:rsidRPr="00026C71">
        <w:rPr>
          <w:rFonts w:ascii="仿宋_GB2312" w:eastAsia="仿宋_GB2312" w:hAnsi="Arial" w:cs="Arial"/>
          <w:sz w:val="30"/>
        </w:rPr>
        <w:t>519508</w:t>
      </w:r>
      <w:r w:rsidR="005A120C" w:rsidRPr="00026C71">
        <w:rPr>
          <w:rFonts w:ascii="仿宋_GB2312" w:eastAsia="仿宋_GB2312" w:hAnsi="Arial" w:cs="Arial" w:hint="eastAsia"/>
          <w:sz w:val="30"/>
        </w:rPr>
        <w:t>,B类/</w:t>
      </w:r>
      <w:r w:rsidR="005A120C" w:rsidRPr="00026C71">
        <w:rPr>
          <w:rFonts w:ascii="仿宋_GB2312" w:eastAsia="仿宋_GB2312" w:hAnsi="Arial" w:cs="Arial"/>
          <w:sz w:val="30"/>
        </w:rPr>
        <w:t xml:space="preserve"> 519507）</w:t>
      </w:r>
      <w:r w:rsidR="005A120C" w:rsidRPr="00026C71">
        <w:rPr>
          <w:rFonts w:ascii="仿宋_GB2312" w:eastAsia="仿宋_GB2312" w:hAnsi="Arial" w:cs="Arial" w:hint="eastAsia"/>
          <w:sz w:val="30"/>
        </w:rPr>
        <w:t>、</w:t>
      </w:r>
      <w:r w:rsidR="005A120C" w:rsidRPr="00026C71">
        <w:rPr>
          <w:rFonts w:ascii="仿宋_GB2312" w:eastAsia="仿宋_GB2312" w:hAnsi="Arial" w:cs="Arial"/>
          <w:sz w:val="30"/>
        </w:rPr>
        <w:t>万家</w:t>
      </w:r>
      <w:proofErr w:type="gramStart"/>
      <w:r w:rsidR="005A120C" w:rsidRPr="00026C71">
        <w:rPr>
          <w:rFonts w:ascii="仿宋_GB2312" w:eastAsia="仿宋_GB2312" w:hAnsi="Arial" w:cs="Arial"/>
          <w:sz w:val="30"/>
        </w:rPr>
        <w:t>日</w:t>
      </w:r>
      <w:proofErr w:type="gramEnd"/>
      <w:r w:rsidR="005A120C" w:rsidRPr="00026C71">
        <w:rPr>
          <w:rFonts w:ascii="仿宋_GB2312" w:eastAsia="仿宋_GB2312" w:hAnsi="Arial" w:cs="Arial"/>
          <w:sz w:val="30"/>
        </w:rPr>
        <w:t>日薪货币市场证券投资基金</w:t>
      </w:r>
      <w:r w:rsidR="005A120C" w:rsidRPr="00026C71">
        <w:rPr>
          <w:rFonts w:ascii="仿宋_GB2312" w:eastAsia="仿宋_GB2312" w:hAnsi="Arial" w:cs="Arial" w:hint="eastAsia"/>
          <w:sz w:val="30"/>
        </w:rPr>
        <w:t>（基金简称：</w:t>
      </w:r>
      <w:r w:rsidR="005A120C" w:rsidRPr="00026C71">
        <w:rPr>
          <w:rFonts w:ascii="仿宋_GB2312" w:eastAsia="仿宋_GB2312" w:hAnsi="Arial" w:cs="Arial"/>
          <w:sz w:val="30"/>
        </w:rPr>
        <w:t>万家日日薪</w:t>
      </w:r>
      <w:r w:rsidR="005A120C" w:rsidRPr="00026C71">
        <w:rPr>
          <w:rFonts w:ascii="仿宋_GB2312" w:eastAsia="仿宋_GB2312" w:hAnsi="Arial" w:cs="Arial" w:hint="eastAsia"/>
          <w:sz w:val="30"/>
        </w:rPr>
        <w:t>；基金代码：A类、519511，B类、519512</w:t>
      </w:r>
      <w:r w:rsidR="005A120C" w:rsidRPr="00026C71">
        <w:rPr>
          <w:rFonts w:ascii="仿宋_GB2312" w:eastAsia="仿宋_GB2312" w:hAnsi="Arial" w:cs="Arial"/>
          <w:sz w:val="30"/>
        </w:rPr>
        <w:t>）</w:t>
      </w:r>
      <w:r w:rsidR="005A120C" w:rsidRPr="00385F58">
        <w:rPr>
          <w:rFonts w:ascii="仿宋_GB2312" w:eastAsia="仿宋_GB2312" w:hAnsi="Arial" w:cs="Arial"/>
          <w:sz w:val="30"/>
        </w:rPr>
        <w:t>之间的相互转换业务。</w:t>
      </w:r>
      <w:r w:rsidR="005A120C">
        <w:rPr>
          <w:rFonts w:ascii="仿宋_GB2312" w:eastAsia="仿宋_GB2312" w:hAnsi="Arial" w:cs="Arial" w:hint="eastAsia"/>
          <w:sz w:val="30"/>
        </w:rPr>
        <w:t>请注意</w:t>
      </w:r>
      <w:r w:rsidR="005A120C" w:rsidRPr="00026C71">
        <w:rPr>
          <w:rFonts w:ascii="仿宋_GB2312" w:eastAsia="仿宋_GB2312" w:hAnsi="Arial" w:cs="Arial" w:hint="eastAsia"/>
          <w:sz w:val="30"/>
        </w:rPr>
        <w:t>同一只基金的</w:t>
      </w:r>
      <w:r w:rsidR="005A120C" w:rsidRPr="00026C71">
        <w:rPr>
          <w:rFonts w:ascii="仿宋_GB2312" w:eastAsia="仿宋_GB2312" w:hAnsi="Arial" w:cs="Arial"/>
          <w:sz w:val="30"/>
        </w:rPr>
        <w:t>AB</w:t>
      </w:r>
      <w:r w:rsidR="005A120C" w:rsidRPr="00026C71">
        <w:rPr>
          <w:rFonts w:ascii="仿宋_GB2312" w:eastAsia="仿宋_GB2312" w:hAnsi="Arial" w:cs="Arial" w:hint="eastAsia"/>
          <w:sz w:val="30"/>
        </w:rPr>
        <w:t>级</w:t>
      </w:r>
      <w:r w:rsidR="005A120C" w:rsidRPr="00026C71">
        <w:rPr>
          <w:rFonts w:ascii="仿宋_GB2312" w:eastAsia="仿宋_GB2312" w:hAnsi="Arial" w:cs="Arial"/>
          <w:sz w:val="30"/>
        </w:rPr>
        <w:t>,AC</w:t>
      </w:r>
      <w:proofErr w:type="gramStart"/>
      <w:r w:rsidR="005A120C" w:rsidRPr="00026C71">
        <w:rPr>
          <w:rFonts w:ascii="仿宋_GB2312" w:eastAsia="仿宋_GB2312" w:hAnsi="Arial" w:cs="Arial" w:hint="eastAsia"/>
          <w:sz w:val="30"/>
        </w:rPr>
        <w:t>级之间</w:t>
      </w:r>
      <w:proofErr w:type="gramEnd"/>
      <w:r w:rsidR="005A120C" w:rsidRPr="00026C71">
        <w:rPr>
          <w:rFonts w:ascii="仿宋_GB2312" w:eastAsia="仿宋_GB2312" w:hAnsi="Arial" w:cs="Arial" w:hint="eastAsia"/>
          <w:sz w:val="30"/>
        </w:rPr>
        <w:t>不能互相转</w:t>
      </w:r>
      <w:r w:rsidR="005A120C">
        <w:rPr>
          <w:rFonts w:ascii="仿宋_GB2312" w:eastAsia="仿宋_GB2312" w:hAnsi="Arial" w:cs="Arial" w:hint="eastAsia"/>
          <w:sz w:val="30"/>
        </w:rPr>
        <w:t>。</w:t>
      </w:r>
    </w:p>
    <w:p w:rsidR="008972DF" w:rsidRDefault="005A120C" w:rsidP="00385F58">
      <w:pPr>
        <w:snapToGrid w:val="0"/>
        <w:spacing w:line="360" w:lineRule="auto"/>
        <w:ind w:right="26" w:firstLineChars="189" w:firstLine="567"/>
        <w:rPr>
          <w:rFonts w:ascii="仿宋_GB2312" w:eastAsia="仿宋_GB2312" w:hAnsi="Arial" w:cs="Arial"/>
          <w:sz w:val="30"/>
        </w:rPr>
      </w:pPr>
      <w:r>
        <w:rPr>
          <w:rFonts w:ascii="仿宋_GB2312" w:eastAsia="仿宋_GB2312" w:hAnsi="Arial" w:cs="Arial" w:hint="eastAsia"/>
          <w:sz w:val="30"/>
        </w:rPr>
        <w:t>（3）</w:t>
      </w:r>
      <w:r w:rsidRPr="00026C71">
        <w:rPr>
          <w:rFonts w:ascii="仿宋_GB2312" w:eastAsia="仿宋_GB2312" w:hAnsi="Arial" w:cs="Arial"/>
          <w:sz w:val="30"/>
        </w:rPr>
        <w:t>万家城市建设</w:t>
      </w:r>
      <w:proofErr w:type="gramStart"/>
      <w:r w:rsidRPr="00026C71">
        <w:rPr>
          <w:rFonts w:ascii="仿宋_GB2312" w:eastAsia="仿宋_GB2312" w:hAnsi="Arial" w:cs="Arial"/>
          <w:sz w:val="30"/>
        </w:rPr>
        <w:t>主题纯债债券</w:t>
      </w:r>
      <w:proofErr w:type="gramEnd"/>
      <w:r w:rsidRPr="00026C71">
        <w:rPr>
          <w:rFonts w:ascii="仿宋_GB2312" w:eastAsia="仿宋_GB2312" w:hAnsi="Arial" w:cs="Arial"/>
          <w:sz w:val="30"/>
        </w:rPr>
        <w:t>型证券投资基金</w:t>
      </w:r>
      <w:r w:rsidRPr="00026C71">
        <w:rPr>
          <w:rFonts w:ascii="仿宋_GB2312" w:eastAsia="仿宋_GB2312" w:hAnsi="Arial" w:cs="Arial" w:hint="eastAsia"/>
          <w:sz w:val="30"/>
        </w:rPr>
        <w:t>（</w:t>
      </w:r>
      <w:r w:rsidRPr="00026C71">
        <w:rPr>
          <w:rFonts w:ascii="仿宋_GB2312" w:eastAsia="仿宋_GB2312" w:hAnsi="Arial" w:cs="Arial"/>
          <w:sz w:val="30"/>
        </w:rPr>
        <w:t>基金简称：万家城建，基金代码：519191</w:t>
      </w:r>
      <w:r w:rsidRPr="00026C71">
        <w:rPr>
          <w:rFonts w:ascii="仿宋_GB2312" w:eastAsia="仿宋_GB2312" w:hAnsi="Arial" w:cs="Arial" w:hint="eastAsia"/>
          <w:sz w:val="30"/>
        </w:rPr>
        <w:t>）与</w:t>
      </w:r>
      <w:r w:rsidRPr="00385F58">
        <w:rPr>
          <w:rFonts w:ascii="仿宋_GB2312" w:eastAsia="仿宋_GB2312" w:hAnsi="Arial" w:cs="Arial"/>
          <w:sz w:val="30"/>
        </w:rPr>
        <w:t>万家180指数证券投资基金（简称：万家180，基金代码：519180）</w:t>
      </w:r>
      <w:r>
        <w:rPr>
          <w:rFonts w:ascii="仿宋_GB2312" w:eastAsia="仿宋_GB2312" w:hAnsi="Arial" w:cs="Arial" w:hint="eastAsia"/>
          <w:sz w:val="30"/>
        </w:rPr>
        <w:t>、</w:t>
      </w:r>
      <w:r w:rsidRPr="00385F58">
        <w:rPr>
          <w:rFonts w:ascii="仿宋_GB2312" w:eastAsia="仿宋_GB2312" w:hAnsi="Arial" w:cs="Arial"/>
          <w:sz w:val="30"/>
        </w:rPr>
        <w:t>万家</w:t>
      </w:r>
      <w:proofErr w:type="gramStart"/>
      <w:r w:rsidRPr="00385F58">
        <w:rPr>
          <w:rFonts w:ascii="仿宋_GB2312" w:eastAsia="仿宋_GB2312" w:hAnsi="Arial" w:cs="Arial"/>
          <w:sz w:val="30"/>
        </w:rPr>
        <w:t>和谐增长</w:t>
      </w:r>
      <w:proofErr w:type="gramEnd"/>
      <w:r w:rsidRPr="00385F58">
        <w:rPr>
          <w:rFonts w:ascii="仿宋_GB2312" w:eastAsia="仿宋_GB2312" w:hAnsi="Arial" w:cs="Arial"/>
          <w:sz w:val="30"/>
        </w:rPr>
        <w:t>混合型证券投资基金（前端收费模式）（简称：万家和谐（前），基金代码：519181）</w:t>
      </w:r>
      <w:r>
        <w:rPr>
          <w:rFonts w:ascii="仿宋_GB2312" w:eastAsia="仿宋_GB2312" w:hAnsi="Arial" w:cs="Arial" w:hint="eastAsia"/>
          <w:sz w:val="30"/>
        </w:rPr>
        <w:t>、</w:t>
      </w:r>
      <w:r w:rsidRPr="00385F58">
        <w:rPr>
          <w:rFonts w:ascii="仿宋_GB2312" w:eastAsia="仿宋_GB2312" w:hAnsi="Arial" w:cs="Arial"/>
          <w:sz w:val="30"/>
        </w:rPr>
        <w:t>万家双引擎灵活配置混合型证券投资基金（简称：万家引擎，基金代码：519183）、万家精选股票型证券投资基金（简称：万家精选，基金代码：519185）、万家稳健增利债券型证券投资基金（简称：万家稳增，基金代码：A类：519186，C类：519187）</w:t>
      </w:r>
      <w:r>
        <w:rPr>
          <w:rFonts w:ascii="仿宋_GB2312" w:eastAsia="仿宋_GB2312" w:hAnsi="Arial" w:cs="Arial" w:hint="eastAsia"/>
          <w:sz w:val="30"/>
        </w:rPr>
        <w:t>、</w:t>
      </w:r>
      <w:r w:rsidRPr="00E323BD">
        <w:rPr>
          <w:rFonts w:ascii="仿宋_GB2312" w:eastAsia="仿宋_GB2312" w:hAnsi="Arial" w:cs="Arial"/>
          <w:sz w:val="30"/>
        </w:rPr>
        <w:t>万</w:t>
      </w:r>
      <w:proofErr w:type="gramStart"/>
      <w:r w:rsidRPr="00E323BD">
        <w:rPr>
          <w:rFonts w:ascii="仿宋_GB2312" w:eastAsia="仿宋_GB2312" w:hAnsi="Arial" w:cs="Arial"/>
          <w:sz w:val="30"/>
        </w:rPr>
        <w:t>家信用恒利</w:t>
      </w:r>
      <w:proofErr w:type="gramEnd"/>
      <w:r w:rsidRPr="00E323BD">
        <w:rPr>
          <w:rFonts w:ascii="仿宋_GB2312" w:eastAsia="仿宋_GB2312" w:hAnsi="Arial" w:cs="Arial"/>
          <w:sz w:val="30"/>
        </w:rPr>
        <w:t>债券型证券投资基金</w:t>
      </w:r>
      <w:r w:rsidRPr="00E323BD">
        <w:rPr>
          <w:rFonts w:ascii="仿宋_GB2312" w:eastAsia="仿宋_GB2312" w:hAnsi="Arial" w:cs="Arial" w:hint="eastAsia"/>
          <w:sz w:val="30"/>
        </w:rPr>
        <w:t>（基金简称：</w:t>
      </w:r>
      <w:r w:rsidRPr="00E323BD">
        <w:rPr>
          <w:rFonts w:ascii="仿宋_GB2312" w:eastAsia="仿宋_GB2312" w:hAnsi="Arial" w:cs="Arial"/>
          <w:sz w:val="30"/>
        </w:rPr>
        <w:t>万家恒利</w:t>
      </w:r>
      <w:r w:rsidRPr="00E323BD">
        <w:rPr>
          <w:rFonts w:ascii="仿宋_GB2312" w:eastAsia="仿宋_GB2312" w:hAnsi="Arial" w:cs="Arial" w:hint="eastAsia"/>
          <w:sz w:val="30"/>
        </w:rPr>
        <w:t>，基金代码：A类、</w:t>
      </w:r>
      <w:r w:rsidRPr="00E323BD">
        <w:rPr>
          <w:rFonts w:ascii="仿宋_GB2312" w:eastAsia="仿宋_GB2312" w:hAnsi="Arial" w:cs="Arial"/>
          <w:sz w:val="30"/>
        </w:rPr>
        <w:t>519188</w:t>
      </w:r>
      <w:r w:rsidRPr="00E323BD">
        <w:rPr>
          <w:rFonts w:ascii="仿宋_GB2312" w:eastAsia="仿宋_GB2312" w:hAnsi="Arial" w:cs="Arial" w:hint="eastAsia"/>
          <w:sz w:val="30"/>
        </w:rPr>
        <w:t>，C类、</w:t>
      </w:r>
      <w:r w:rsidRPr="00E323BD">
        <w:rPr>
          <w:rFonts w:ascii="仿宋_GB2312" w:eastAsia="仿宋_GB2312" w:hAnsi="Arial" w:cs="Arial"/>
          <w:sz w:val="30"/>
        </w:rPr>
        <w:t>51918</w:t>
      </w:r>
      <w:r w:rsidRPr="00E323BD">
        <w:rPr>
          <w:rFonts w:ascii="仿宋_GB2312" w:eastAsia="仿宋_GB2312" w:hAnsi="Arial" w:cs="Arial" w:hint="eastAsia"/>
          <w:sz w:val="30"/>
        </w:rPr>
        <w:t>9）</w:t>
      </w:r>
      <w:r>
        <w:rPr>
          <w:rFonts w:ascii="仿宋_GB2312" w:eastAsia="仿宋_GB2312" w:hAnsi="Arial" w:cs="Arial" w:hint="eastAsia"/>
          <w:sz w:val="30"/>
        </w:rPr>
        <w:t>、</w:t>
      </w:r>
      <w:r w:rsidRPr="00026C71">
        <w:rPr>
          <w:rFonts w:ascii="仿宋_GB2312" w:eastAsia="仿宋_GB2312" w:hAnsi="Arial" w:cs="Arial"/>
          <w:sz w:val="30"/>
        </w:rPr>
        <w:t>万家货币市场证券投资基金（基金简称：万家货币，基金代码：</w:t>
      </w:r>
      <w:r w:rsidRPr="00026C71">
        <w:rPr>
          <w:rFonts w:ascii="仿宋_GB2312" w:eastAsia="仿宋_GB2312" w:hAnsi="Arial" w:cs="Arial" w:hint="eastAsia"/>
          <w:sz w:val="30"/>
        </w:rPr>
        <w:t>A类/</w:t>
      </w:r>
      <w:r w:rsidRPr="00026C71">
        <w:rPr>
          <w:rFonts w:ascii="仿宋_GB2312" w:eastAsia="仿宋_GB2312" w:hAnsi="Arial" w:cs="Arial"/>
          <w:sz w:val="30"/>
        </w:rPr>
        <w:t>519508</w:t>
      </w:r>
      <w:r w:rsidRPr="00026C71">
        <w:rPr>
          <w:rFonts w:ascii="仿宋_GB2312" w:eastAsia="仿宋_GB2312" w:hAnsi="Arial" w:cs="Arial" w:hint="eastAsia"/>
          <w:sz w:val="30"/>
        </w:rPr>
        <w:t>,B类/</w:t>
      </w:r>
      <w:r w:rsidRPr="00026C71">
        <w:rPr>
          <w:rFonts w:ascii="仿宋_GB2312" w:eastAsia="仿宋_GB2312" w:hAnsi="Arial" w:cs="Arial"/>
          <w:sz w:val="30"/>
        </w:rPr>
        <w:t xml:space="preserve"> 519507）</w:t>
      </w:r>
      <w:r w:rsidRPr="00385F58">
        <w:rPr>
          <w:rFonts w:ascii="仿宋_GB2312" w:eastAsia="仿宋_GB2312" w:hAnsi="Arial" w:cs="Arial"/>
          <w:sz w:val="30"/>
        </w:rPr>
        <w:t>之间的相互转换业务。</w:t>
      </w:r>
      <w:r>
        <w:rPr>
          <w:rFonts w:ascii="仿宋_GB2312" w:eastAsia="仿宋_GB2312" w:hAnsi="Arial" w:cs="Arial" w:hint="eastAsia"/>
          <w:sz w:val="30"/>
        </w:rPr>
        <w:t>请注意</w:t>
      </w:r>
      <w:r w:rsidRPr="00E323BD">
        <w:rPr>
          <w:rFonts w:ascii="仿宋_GB2312" w:eastAsia="仿宋_GB2312" w:hAnsi="Arial" w:cs="Arial" w:hint="eastAsia"/>
          <w:sz w:val="30"/>
        </w:rPr>
        <w:t>同一只基金的</w:t>
      </w:r>
      <w:r w:rsidRPr="00E323BD">
        <w:rPr>
          <w:rFonts w:ascii="仿宋_GB2312" w:eastAsia="仿宋_GB2312" w:hAnsi="Arial" w:cs="Arial"/>
          <w:sz w:val="30"/>
        </w:rPr>
        <w:t>AB</w:t>
      </w:r>
      <w:r w:rsidRPr="00E323BD">
        <w:rPr>
          <w:rFonts w:ascii="仿宋_GB2312" w:eastAsia="仿宋_GB2312" w:hAnsi="Arial" w:cs="Arial" w:hint="eastAsia"/>
          <w:sz w:val="30"/>
        </w:rPr>
        <w:t>级</w:t>
      </w:r>
      <w:r w:rsidRPr="00E323BD">
        <w:rPr>
          <w:rFonts w:ascii="仿宋_GB2312" w:eastAsia="仿宋_GB2312" w:hAnsi="Arial" w:cs="Arial"/>
          <w:sz w:val="30"/>
        </w:rPr>
        <w:t>,AC</w:t>
      </w:r>
      <w:proofErr w:type="gramStart"/>
      <w:r w:rsidRPr="00E323BD">
        <w:rPr>
          <w:rFonts w:ascii="仿宋_GB2312" w:eastAsia="仿宋_GB2312" w:hAnsi="Arial" w:cs="Arial" w:hint="eastAsia"/>
          <w:sz w:val="30"/>
        </w:rPr>
        <w:t>级之间</w:t>
      </w:r>
      <w:proofErr w:type="gramEnd"/>
      <w:r w:rsidRPr="00E323BD">
        <w:rPr>
          <w:rFonts w:ascii="仿宋_GB2312" w:eastAsia="仿宋_GB2312" w:hAnsi="Arial" w:cs="Arial" w:hint="eastAsia"/>
          <w:sz w:val="30"/>
        </w:rPr>
        <w:t>不能互相转</w:t>
      </w:r>
      <w:r>
        <w:rPr>
          <w:rFonts w:ascii="仿宋_GB2312" w:eastAsia="仿宋_GB2312" w:hAnsi="Arial" w:cs="Arial" w:hint="eastAsia"/>
          <w:sz w:val="30"/>
        </w:rPr>
        <w:t>。</w:t>
      </w:r>
    </w:p>
    <w:p w:rsidR="00385F58" w:rsidRDefault="00385F58" w:rsidP="00385F58">
      <w:pPr>
        <w:snapToGrid w:val="0"/>
        <w:spacing w:line="360" w:lineRule="auto"/>
        <w:ind w:right="26" w:firstLineChars="189" w:firstLine="567"/>
        <w:rPr>
          <w:rFonts w:ascii="仿宋_GB2312" w:eastAsia="仿宋_GB2312" w:hAnsi="Arial" w:cs="Arial"/>
          <w:sz w:val="30"/>
        </w:rPr>
      </w:pPr>
      <w:r w:rsidRPr="00385F58">
        <w:rPr>
          <w:rFonts w:ascii="仿宋_GB2312" w:eastAsia="仿宋_GB2312" w:hAnsi="Arial" w:cs="Arial"/>
          <w:sz w:val="30"/>
        </w:rPr>
        <w:t>2、基金转换费用及业务规则详见各基金招募说明书和本公司基金转换业务的相关公告。</w:t>
      </w:r>
    </w:p>
    <w:p w:rsidR="00411026" w:rsidRDefault="00411026" w:rsidP="00385F58">
      <w:pPr>
        <w:snapToGrid w:val="0"/>
        <w:spacing w:line="360" w:lineRule="auto"/>
        <w:ind w:right="26" w:firstLineChars="189" w:firstLine="567"/>
        <w:rPr>
          <w:rFonts w:ascii="仿宋_GB2312" w:eastAsia="仿宋_GB2312" w:hAnsi="Arial" w:cs="Arial"/>
          <w:sz w:val="30"/>
        </w:rPr>
      </w:pPr>
    </w:p>
    <w:p w:rsidR="00411026" w:rsidRDefault="00411026" w:rsidP="00385F58">
      <w:pPr>
        <w:snapToGrid w:val="0"/>
        <w:spacing w:line="360" w:lineRule="auto"/>
        <w:ind w:right="26" w:firstLineChars="189" w:firstLine="567"/>
        <w:rPr>
          <w:rFonts w:ascii="仿宋_GB2312" w:eastAsia="仿宋_GB2312" w:hAnsi="Arial" w:cs="Arial"/>
          <w:sz w:val="30"/>
        </w:rPr>
      </w:pPr>
      <w:r>
        <w:rPr>
          <w:rFonts w:ascii="仿宋_GB2312" w:eastAsia="仿宋_GB2312" w:hAnsi="Arial" w:cs="Arial" w:hint="eastAsia"/>
          <w:sz w:val="30"/>
        </w:rPr>
        <w:t>二、开通旗下部分</w:t>
      </w:r>
      <w:proofErr w:type="gramStart"/>
      <w:r>
        <w:rPr>
          <w:rFonts w:ascii="仿宋_GB2312" w:eastAsia="仿宋_GB2312" w:hAnsi="Arial" w:cs="Arial" w:hint="eastAsia"/>
          <w:sz w:val="30"/>
        </w:rPr>
        <w:t>基金定投</w:t>
      </w:r>
      <w:r w:rsidR="003943F2">
        <w:rPr>
          <w:rFonts w:ascii="仿宋_GB2312" w:eastAsia="仿宋_GB2312" w:hAnsi="Arial" w:cs="Arial" w:hint="eastAsia"/>
          <w:sz w:val="30"/>
        </w:rPr>
        <w:t>业务</w:t>
      </w:r>
      <w:proofErr w:type="gramEnd"/>
    </w:p>
    <w:p w:rsidR="00411026" w:rsidRPr="001B5D15" w:rsidRDefault="00411026" w:rsidP="001B5D15">
      <w:pPr>
        <w:rPr>
          <w:rFonts w:ascii="宋体" w:eastAsia="宋体" w:hAnsi="宋体" w:cs="宋体"/>
          <w:color w:val="FF0000"/>
          <w:kern w:val="0"/>
          <w:sz w:val="20"/>
          <w:szCs w:val="20"/>
        </w:rPr>
      </w:pPr>
      <w:r w:rsidRPr="001B5D15">
        <w:rPr>
          <w:rFonts w:ascii="仿宋_GB2312" w:eastAsia="仿宋_GB2312" w:hAnsi="Arial" w:cs="Arial"/>
          <w:sz w:val="30"/>
        </w:rPr>
        <w:t>为满足广大投资者的理财需求，自201</w:t>
      </w:r>
      <w:r>
        <w:rPr>
          <w:rFonts w:ascii="仿宋_GB2312" w:eastAsia="仿宋_GB2312" w:hAnsi="Arial" w:cs="Arial" w:hint="eastAsia"/>
          <w:sz w:val="30"/>
        </w:rPr>
        <w:t>4</w:t>
      </w:r>
      <w:r w:rsidRPr="001B5D15">
        <w:rPr>
          <w:rFonts w:ascii="仿宋_GB2312" w:eastAsia="仿宋_GB2312" w:hAnsi="Arial" w:cs="Arial"/>
          <w:sz w:val="30"/>
        </w:rPr>
        <w:t>年</w:t>
      </w:r>
      <w:r>
        <w:rPr>
          <w:rFonts w:ascii="仿宋_GB2312" w:eastAsia="仿宋_GB2312" w:hAnsi="Arial" w:cs="Arial" w:hint="eastAsia"/>
          <w:sz w:val="30"/>
        </w:rPr>
        <w:t>7</w:t>
      </w:r>
      <w:r w:rsidRPr="001B5D15">
        <w:rPr>
          <w:rFonts w:ascii="仿宋_GB2312" w:eastAsia="仿宋_GB2312" w:hAnsi="Arial" w:cs="Arial"/>
          <w:sz w:val="30"/>
        </w:rPr>
        <w:t>月</w:t>
      </w:r>
      <w:r>
        <w:rPr>
          <w:rFonts w:ascii="仿宋_GB2312" w:eastAsia="仿宋_GB2312" w:hAnsi="Arial" w:cs="Arial" w:hint="eastAsia"/>
          <w:sz w:val="30"/>
        </w:rPr>
        <w:t>11</w:t>
      </w:r>
      <w:r w:rsidRPr="001B5D15">
        <w:rPr>
          <w:rFonts w:ascii="仿宋_GB2312" w:eastAsia="仿宋_GB2312" w:hAnsi="Arial" w:cs="Arial"/>
          <w:sz w:val="30"/>
        </w:rPr>
        <w:t>日起我司旗下</w:t>
      </w:r>
      <w:r w:rsidRPr="00411026">
        <w:rPr>
          <w:rFonts w:ascii="仿宋_GB2312" w:eastAsia="仿宋_GB2312" w:hAnsi="Arial" w:cs="Arial" w:hint="eastAsia"/>
          <w:sz w:val="30"/>
        </w:rPr>
        <w:lastRenderedPageBreak/>
        <w:t>万家添利债券型证券投资基金（LOF）</w:t>
      </w:r>
      <w:r w:rsidRPr="001B5D15">
        <w:rPr>
          <w:rFonts w:ascii="仿宋_GB2312" w:eastAsia="仿宋_GB2312" w:hAnsi="Arial" w:cs="Arial"/>
          <w:sz w:val="30"/>
        </w:rPr>
        <w:t>（</w:t>
      </w:r>
      <w:r w:rsidRPr="001B5D15">
        <w:rPr>
          <w:rFonts w:ascii="仿宋_GB2312" w:eastAsia="仿宋_GB2312" w:hAnsi="Arial" w:cs="Arial" w:hint="eastAsia"/>
          <w:sz w:val="30"/>
        </w:rPr>
        <w:t>基金</w:t>
      </w:r>
      <w:r w:rsidRPr="001B5D15">
        <w:rPr>
          <w:rFonts w:ascii="仿宋_GB2312" w:eastAsia="仿宋_GB2312" w:hAnsi="Arial" w:cs="Arial"/>
          <w:sz w:val="30"/>
        </w:rPr>
        <w:t>简称：万家添利</w:t>
      </w:r>
      <w:r w:rsidRPr="001B5D15">
        <w:rPr>
          <w:rFonts w:ascii="仿宋_GB2312" w:eastAsia="仿宋_GB2312" w:hAnsi="Arial" w:cs="Arial" w:hint="eastAsia"/>
          <w:sz w:val="30"/>
        </w:rPr>
        <w:t>，代码：161908</w:t>
      </w:r>
      <w:r w:rsidRPr="001B5D15">
        <w:rPr>
          <w:rFonts w:ascii="仿宋_GB2312" w:eastAsia="仿宋_GB2312" w:hAnsi="Arial" w:cs="Arial"/>
          <w:sz w:val="30"/>
        </w:rPr>
        <w:t>）</w:t>
      </w:r>
      <w:r>
        <w:rPr>
          <w:rFonts w:ascii="仿宋_GB2312" w:eastAsia="仿宋_GB2312" w:hAnsi="Arial" w:cs="Arial" w:hint="eastAsia"/>
          <w:sz w:val="30"/>
        </w:rPr>
        <w:t>、</w:t>
      </w:r>
      <w:r w:rsidRPr="00411026">
        <w:rPr>
          <w:rFonts w:ascii="仿宋_GB2312" w:eastAsia="仿宋_GB2312" w:hAnsi="Arial" w:cs="Arial" w:hint="eastAsia"/>
          <w:sz w:val="30"/>
        </w:rPr>
        <w:t>万家</w:t>
      </w:r>
      <w:proofErr w:type="gramStart"/>
      <w:r w:rsidRPr="00411026">
        <w:rPr>
          <w:rFonts w:ascii="仿宋_GB2312" w:eastAsia="仿宋_GB2312" w:hAnsi="Arial" w:cs="Arial" w:hint="eastAsia"/>
          <w:sz w:val="30"/>
        </w:rPr>
        <w:t>和谐增长</w:t>
      </w:r>
      <w:proofErr w:type="gramEnd"/>
      <w:r w:rsidRPr="00411026">
        <w:rPr>
          <w:rFonts w:ascii="仿宋_GB2312" w:eastAsia="仿宋_GB2312" w:hAnsi="Arial" w:cs="Arial" w:hint="eastAsia"/>
          <w:sz w:val="30"/>
        </w:rPr>
        <w:t>混合型后收费基金</w:t>
      </w:r>
      <w:r w:rsidR="00C93CC9" w:rsidRPr="001B5D15">
        <w:rPr>
          <w:rFonts w:ascii="仿宋_GB2312" w:eastAsia="仿宋_GB2312" w:hAnsi="Arial" w:cs="Arial"/>
          <w:sz w:val="30"/>
        </w:rPr>
        <w:t>（基金简称：万家和谐，基金代码： 519182（后端））</w:t>
      </w:r>
      <w:r w:rsidR="00C93CC9" w:rsidRPr="001B5D15">
        <w:rPr>
          <w:rFonts w:ascii="仿宋_GB2312" w:eastAsia="仿宋_GB2312" w:hAnsi="Arial" w:cs="Arial" w:hint="eastAsia"/>
          <w:sz w:val="30"/>
        </w:rPr>
        <w:t>、万家精选股票型基金</w:t>
      </w:r>
      <w:r w:rsidR="00C93CC9" w:rsidRPr="001B5D15">
        <w:rPr>
          <w:rFonts w:ascii="仿宋_GB2312" w:eastAsia="仿宋_GB2312" w:hAnsi="Arial" w:cs="Arial"/>
          <w:sz w:val="30"/>
        </w:rPr>
        <w:t>（基金简称：万家精选，基金代码：519185）</w:t>
      </w:r>
      <w:r w:rsidR="00C93CC9" w:rsidRPr="001B5D15">
        <w:rPr>
          <w:rFonts w:ascii="仿宋_GB2312" w:eastAsia="仿宋_GB2312" w:hAnsi="Arial" w:cs="Arial" w:hint="eastAsia"/>
          <w:sz w:val="30"/>
        </w:rPr>
        <w:t>、</w:t>
      </w:r>
      <w:r w:rsidR="00C93CC9" w:rsidRPr="001B5D15">
        <w:rPr>
          <w:rFonts w:ascii="仿宋_GB2312" w:eastAsia="仿宋_GB2312" w:hAnsi="Arial" w:cs="Arial"/>
          <w:sz w:val="30"/>
        </w:rPr>
        <w:t>万</w:t>
      </w:r>
      <w:proofErr w:type="gramStart"/>
      <w:r w:rsidR="00C93CC9" w:rsidRPr="001B5D15">
        <w:rPr>
          <w:rFonts w:ascii="仿宋_GB2312" w:eastAsia="仿宋_GB2312" w:hAnsi="Arial" w:cs="Arial"/>
          <w:sz w:val="30"/>
        </w:rPr>
        <w:t>家信用恒利</w:t>
      </w:r>
      <w:proofErr w:type="gramEnd"/>
      <w:r w:rsidR="00C93CC9" w:rsidRPr="001B5D15">
        <w:rPr>
          <w:rFonts w:ascii="仿宋_GB2312" w:eastAsia="仿宋_GB2312" w:hAnsi="Arial" w:cs="Arial"/>
          <w:sz w:val="30"/>
        </w:rPr>
        <w:t>债券型证券投资基金</w:t>
      </w:r>
      <w:r w:rsidR="00C93CC9" w:rsidRPr="001B5D15">
        <w:rPr>
          <w:rFonts w:ascii="仿宋_GB2312" w:eastAsia="仿宋_GB2312" w:hAnsi="Arial" w:cs="Arial" w:hint="eastAsia"/>
          <w:sz w:val="30"/>
        </w:rPr>
        <w:t>（基金简称：</w:t>
      </w:r>
      <w:r w:rsidR="00C93CC9" w:rsidRPr="001B5D15">
        <w:rPr>
          <w:rFonts w:ascii="仿宋_GB2312" w:eastAsia="仿宋_GB2312" w:hAnsi="Arial" w:cs="Arial"/>
          <w:sz w:val="30"/>
        </w:rPr>
        <w:t>万家恒利</w:t>
      </w:r>
      <w:r w:rsidR="00C93CC9" w:rsidRPr="001B5D15">
        <w:rPr>
          <w:rFonts w:ascii="仿宋_GB2312" w:eastAsia="仿宋_GB2312" w:hAnsi="Arial" w:cs="Arial" w:hint="eastAsia"/>
          <w:sz w:val="30"/>
        </w:rPr>
        <w:t>，基金代码：A类、</w:t>
      </w:r>
      <w:r w:rsidR="00C93CC9" w:rsidRPr="001B5D15">
        <w:rPr>
          <w:rFonts w:ascii="仿宋_GB2312" w:eastAsia="仿宋_GB2312" w:hAnsi="Arial" w:cs="Arial"/>
          <w:sz w:val="30"/>
        </w:rPr>
        <w:t>519188</w:t>
      </w:r>
      <w:r w:rsidR="00C93CC9" w:rsidRPr="001B5D15">
        <w:rPr>
          <w:rFonts w:ascii="仿宋_GB2312" w:eastAsia="仿宋_GB2312" w:hAnsi="Arial" w:cs="Arial" w:hint="eastAsia"/>
          <w:sz w:val="30"/>
        </w:rPr>
        <w:t>，C类、</w:t>
      </w:r>
      <w:r w:rsidR="00C93CC9" w:rsidRPr="001B5D15">
        <w:rPr>
          <w:rFonts w:ascii="仿宋_GB2312" w:eastAsia="仿宋_GB2312" w:hAnsi="Arial" w:cs="Arial"/>
          <w:sz w:val="30"/>
        </w:rPr>
        <w:t>51918</w:t>
      </w:r>
      <w:r w:rsidR="00C93CC9" w:rsidRPr="001B5D15">
        <w:rPr>
          <w:rFonts w:ascii="仿宋_GB2312" w:eastAsia="仿宋_GB2312" w:hAnsi="Arial" w:cs="Arial" w:hint="eastAsia"/>
          <w:sz w:val="30"/>
        </w:rPr>
        <w:t>9）、万家城市建设</w:t>
      </w:r>
      <w:proofErr w:type="gramStart"/>
      <w:r w:rsidR="00C93CC9" w:rsidRPr="001B5D15">
        <w:rPr>
          <w:rFonts w:ascii="仿宋_GB2312" w:eastAsia="仿宋_GB2312" w:hAnsi="Arial" w:cs="Arial" w:hint="eastAsia"/>
          <w:sz w:val="30"/>
        </w:rPr>
        <w:t>主题纯债债券</w:t>
      </w:r>
      <w:proofErr w:type="gramEnd"/>
      <w:r w:rsidR="00C93CC9" w:rsidRPr="001B5D15">
        <w:rPr>
          <w:rFonts w:ascii="仿宋_GB2312" w:eastAsia="仿宋_GB2312" w:hAnsi="Arial" w:cs="Arial" w:hint="eastAsia"/>
          <w:sz w:val="30"/>
        </w:rPr>
        <w:t>型证券投资基金（</w:t>
      </w:r>
      <w:r w:rsidR="00C93CC9" w:rsidRPr="001B5D15">
        <w:rPr>
          <w:rFonts w:ascii="仿宋_GB2312" w:eastAsia="仿宋_GB2312" w:hAnsi="Arial" w:cs="Arial"/>
          <w:sz w:val="30"/>
        </w:rPr>
        <w:t>基金简称：万家城建，基金代码：519191</w:t>
      </w:r>
      <w:r w:rsidR="00C93CC9" w:rsidRPr="001B5D15">
        <w:rPr>
          <w:rFonts w:ascii="仿宋_GB2312" w:eastAsia="仿宋_GB2312" w:hAnsi="Arial" w:cs="Arial" w:hint="eastAsia"/>
          <w:sz w:val="30"/>
        </w:rPr>
        <w:t>）、万家</w:t>
      </w:r>
      <w:proofErr w:type="gramStart"/>
      <w:r w:rsidR="00C93CC9" w:rsidRPr="001B5D15">
        <w:rPr>
          <w:rFonts w:ascii="仿宋_GB2312" w:eastAsia="仿宋_GB2312" w:hAnsi="Arial" w:cs="Arial" w:hint="eastAsia"/>
          <w:sz w:val="30"/>
        </w:rPr>
        <w:t>日</w:t>
      </w:r>
      <w:proofErr w:type="gramEnd"/>
      <w:r w:rsidR="00C93CC9" w:rsidRPr="001B5D15">
        <w:rPr>
          <w:rFonts w:ascii="仿宋_GB2312" w:eastAsia="仿宋_GB2312" w:hAnsi="Arial" w:cs="Arial" w:hint="eastAsia"/>
          <w:sz w:val="30"/>
        </w:rPr>
        <w:t>日薪货币市场证券投资基金A类份额（基金简称：</w:t>
      </w:r>
      <w:r w:rsidR="00C93CC9" w:rsidRPr="001B5D15">
        <w:rPr>
          <w:rFonts w:ascii="仿宋_GB2312" w:eastAsia="仿宋_GB2312" w:hAnsi="Arial" w:cs="Arial"/>
          <w:sz w:val="30"/>
        </w:rPr>
        <w:t>万家日日薪</w:t>
      </w:r>
      <w:r w:rsidR="00C93CC9" w:rsidRPr="001B5D15">
        <w:rPr>
          <w:rFonts w:ascii="仿宋_GB2312" w:eastAsia="仿宋_GB2312" w:hAnsi="Arial" w:cs="Arial" w:hint="eastAsia"/>
          <w:sz w:val="30"/>
        </w:rPr>
        <w:t>；基金代码：A类、519511</w:t>
      </w:r>
      <w:r w:rsidR="00C93CC9" w:rsidRPr="001B5D15">
        <w:rPr>
          <w:rFonts w:ascii="仿宋_GB2312" w:eastAsia="仿宋_GB2312" w:hAnsi="Arial" w:cs="Arial"/>
          <w:sz w:val="30"/>
        </w:rPr>
        <w:t>）</w:t>
      </w:r>
      <w:proofErr w:type="gramStart"/>
      <w:r w:rsidRPr="001B5D15">
        <w:rPr>
          <w:rFonts w:ascii="仿宋_GB2312" w:eastAsia="仿宋_GB2312" w:hAnsi="Arial" w:cs="Arial"/>
          <w:sz w:val="30"/>
        </w:rPr>
        <w:t>开通在</w:t>
      </w:r>
      <w:proofErr w:type="gramEnd"/>
      <w:r>
        <w:rPr>
          <w:rFonts w:ascii="仿宋_GB2312" w:eastAsia="仿宋_GB2312" w:hAnsi="Arial" w:cs="Arial" w:hint="eastAsia"/>
          <w:sz w:val="30"/>
        </w:rPr>
        <w:t>交通银行</w:t>
      </w:r>
      <w:r w:rsidRPr="001B5D15">
        <w:rPr>
          <w:rFonts w:ascii="仿宋_GB2312" w:eastAsia="仿宋_GB2312" w:hAnsi="Arial" w:cs="Arial"/>
          <w:sz w:val="30"/>
        </w:rPr>
        <w:t>的定期定额申购业务（以下简称</w:t>
      </w:r>
      <w:r w:rsidRPr="001B5D15">
        <w:rPr>
          <w:rFonts w:ascii="仿宋_GB2312" w:eastAsia="仿宋_GB2312" w:hAnsi="Arial" w:cs="Arial"/>
          <w:sz w:val="30"/>
        </w:rPr>
        <w:t>“</w:t>
      </w:r>
      <w:r w:rsidRPr="001B5D15">
        <w:rPr>
          <w:rFonts w:ascii="仿宋_GB2312" w:eastAsia="仿宋_GB2312" w:hAnsi="Arial" w:cs="Arial"/>
          <w:sz w:val="30"/>
        </w:rPr>
        <w:t>基金定投</w:t>
      </w:r>
      <w:r w:rsidRPr="001B5D15">
        <w:rPr>
          <w:rFonts w:ascii="仿宋_GB2312" w:eastAsia="仿宋_GB2312" w:hAnsi="Arial" w:cs="Arial"/>
          <w:sz w:val="30"/>
        </w:rPr>
        <w:t>”</w:t>
      </w:r>
      <w:r w:rsidRPr="001B5D15">
        <w:rPr>
          <w:rFonts w:ascii="仿宋_GB2312" w:eastAsia="仿宋_GB2312" w:hAnsi="Arial" w:cs="Arial"/>
          <w:sz w:val="30"/>
        </w:rPr>
        <w:t>）。</w:t>
      </w:r>
    </w:p>
    <w:p w:rsidR="00411026" w:rsidRPr="001B5D15" w:rsidRDefault="00411026" w:rsidP="001B5D15">
      <w:pPr>
        <w:snapToGrid w:val="0"/>
        <w:spacing w:line="360" w:lineRule="auto"/>
        <w:ind w:right="26" w:firstLineChars="189" w:firstLine="567"/>
        <w:rPr>
          <w:rFonts w:ascii="仿宋_GB2312" w:eastAsia="仿宋_GB2312" w:hAnsi="Arial" w:cs="Arial"/>
          <w:sz w:val="30"/>
        </w:rPr>
      </w:pPr>
      <w:proofErr w:type="gramStart"/>
      <w:r w:rsidRPr="001B5D15">
        <w:rPr>
          <w:rFonts w:ascii="仿宋_GB2312" w:eastAsia="仿宋_GB2312" w:hAnsi="Arial" w:cs="Arial"/>
          <w:sz w:val="30"/>
        </w:rPr>
        <w:t>基金定投是</w:t>
      </w:r>
      <w:proofErr w:type="gramEnd"/>
      <w:r w:rsidRPr="001B5D15">
        <w:rPr>
          <w:rFonts w:ascii="仿宋_GB2312" w:eastAsia="仿宋_GB2312" w:hAnsi="Arial" w:cs="Arial"/>
          <w:sz w:val="30"/>
        </w:rPr>
        <w:t>指投资者通过向本基金管理人指定的</w:t>
      </w:r>
      <w:r>
        <w:rPr>
          <w:rFonts w:ascii="仿宋_GB2312" w:eastAsia="仿宋_GB2312" w:hAnsi="Arial" w:cs="Arial" w:hint="eastAsia"/>
          <w:sz w:val="30"/>
        </w:rPr>
        <w:t>交通银行</w:t>
      </w:r>
      <w:r w:rsidRPr="001B5D15">
        <w:rPr>
          <w:rFonts w:ascii="仿宋_GB2312" w:eastAsia="仿宋_GB2312" w:hAnsi="Arial" w:cs="Arial"/>
          <w:sz w:val="30"/>
        </w:rPr>
        <w:t>提交申请，约定申购周期、申购时间和申购金额，由</w:t>
      </w:r>
      <w:r>
        <w:rPr>
          <w:rFonts w:ascii="仿宋_GB2312" w:eastAsia="仿宋_GB2312" w:hAnsi="Arial" w:cs="Arial" w:hint="eastAsia"/>
          <w:sz w:val="30"/>
        </w:rPr>
        <w:t>交通银行</w:t>
      </w:r>
      <w:r w:rsidRPr="001B5D15">
        <w:rPr>
          <w:rFonts w:ascii="仿宋_GB2312" w:eastAsia="仿宋_GB2312" w:hAnsi="Arial" w:cs="Arial"/>
          <w:sz w:val="30"/>
        </w:rPr>
        <w:t>在设定期限内按照约定的自动</w:t>
      </w:r>
      <w:proofErr w:type="gramStart"/>
      <w:r w:rsidRPr="001B5D15">
        <w:rPr>
          <w:rFonts w:ascii="仿宋_GB2312" w:eastAsia="仿宋_GB2312" w:hAnsi="Arial" w:cs="Arial"/>
          <w:sz w:val="30"/>
        </w:rPr>
        <w:t>投资日</w:t>
      </w:r>
      <w:proofErr w:type="gramEnd"/>
      <w:r w:rsidRPr="001B5D15">
        <w:rPr>
          <w:rFonts w:ascii="仿宋_GB2312" w:eastAsia="仿宋_GB2312" w:hAnsi="Arial" w:cs="Arial"/>
          <w:sz w:val="30"/>
        </w:rPr>
        <w:t>在投资者指定资金账户内自动完成基金申购申请的一种长期投资方式。有关</w:t>
      </w:r>
      <w:proofErr w:type="gramStart"/>
      <w:r w:rsidRPr="001B5D15">
        <w:rPr>
          <w:rFonts w:ascii="仿宋_GB2312" w:eastAsia="仿宋_GB2312" w:hAnsi="Arial" w:cs="Arial"/>
          <w:sz w:val="30"/>
        </w:rPr>
        <w:t>基金定投事宜</w:t>
      </w:r>
      <w:proofErr w:type="gramEnd"/>
      <w:r w:rsidRPr="001B5D15">
        <w:rPr>
          <w:rFonts w:ascii="仿宋_GB2312" w:eastAsia="仿宋_GB2312" w:hAnsi="Arial" w:cs="Arial"/>
          <w:sz w:val="30"/>
        </w:rPr>
        <w:t>公告如下：</w:t>
      </w:r>
    </w:p>
    <w:p w:rsidR="00411026" w:rsidRPr="001B5D15" w:rsidRDefault="00411026" w:rsidP="001B5D15">
      <w:pPr>
        <w:snapToGrid w:val="0"/>
        <w:spacing w:line="360" w:lineRule="auto"/>
        <w:ind w:leftChars="213" w:left="447" w:right="26" w:firstLineChars="39" w:firstLine="117"/>
        <w:rPr>
          <w:rFonts w:ascii="仿宋_GB2312" w:eastAsia="仿宋_GB2312" w:hAnsi="Arial" w:cs="Arial"/>
          <w:sz w:val="30"/>
        </w:rPr>
      </w:pPr>
      <w:r w:rsidRPr="001B5D15">
        <w:rPr>
          <w:rFonts w:ascii="仿宋_GB2312" w:eastAsia="仿宋_GB2312" w:hAnsi="Arial" w:cs="Arial"/>
          <w:sz w:val="30"/>
        </w:rPr>
        <w:t xml:space="preserve">（一）适用投资者范围 </w:t>
      </w:r>
      <w:r w:rsidRPr="001B5D15">
        <w:rPr>
          <w:rFonts w:ascii="仿宋_GB2312" w:eastAsia="仿宋_GB2312" w:hAnsi="Arial" w:cs="Arial"/>
          <w:sz w:val="30"/>
        </w:rPr>
        <w:br/>
        <w:t>符合相关基金合同规定的所有投资者。</w:t>
      </w:r>
    </w:p>
    <w:p w:rsidR="00411026" w:rsidRDefault="00411026" w:rsidP="001B5D15">
      <w:pPr>
        <w:snapToGrid w:val="0"/>
        <w:spacing w:line="360" w:lineRule="auto"/>
        <w:ind w:right="26" w:firstLineChars="189" w:firstLine="567"/>
        <w:rPr>
          <w:rFonts w:ascii="仿宋_GB2312" w:eastAsia="仿宋_GB2312" w:hAnsi="Arial" w:cs="Arial"/>
          <w:sz w:val="30"/>
        </w:rPr>
      </w:pPr>
      <w:r w:rsidRPr="001B5D15">
        <w:rPr>
          <w:rFonts w:ascii="仿宋_GB2312" w:eastAsia="仿宋_GB2312" w:hAnsi="Arial" w:cs="Arial"/>
          <w:sz w:val="30"/>
        </w:rPr>
        <w:t>（二）办理方式</w:t>
      </w:r>
    </w:p>
    <w:p w:rsidR="00411026" w:rsidRDefault="00411026" w:rsidP="001B5D15">
      <w:pPr>
        <w:snapToGrid w:val="0"/>
        <w:spacing w:line="360" w:lineRule="auto"/>
        <w:ind w:right="26" w:firstLineChars="189" w:firstLine="567"/>
        <w:rPr>
          <w:rFonts w:ascii="仿宋_GB2312" w:eastAsia="仿宋_GB2312" w:hAnsi="Arial" w:cs="Arial"/>
          <w:sz w:val="30"/>
        </w:rPr>
      </w:pPr>
      <w:r w:rsidRPr="001B5D15">
        <w:rPr>
          <w:rFonts w:ascii="仿宋_GB2312" w:eastAsia="仿宋_GB2312" w:hAnsi="Arial" w:cs="Arial"/>
          <w:sz w:val="30"/>
        </w:rPr>
        <w:t>1、申请办理定期定额申购业务的投资者须拥有中国证券登记结算公司开放式基金账户，具体开户程序请遵循</w:t>
      </w:r>
      <w:r w:rsidR="00C93CC9">
        <w:rPr>
          <w:rFonts w:ascii="仿宋_GB2312" w:eastAsia="仿宋_GB2312" w:hAnsi="Arial" w:cs="Arial" w:hint="eastAsia"/>
          <w:sz w:val="30"/>
        </w:rPr>
        <w:t>交通银行</w:t>
      </w:r>
      <w:r w:rsidRPr="001B5D15">
        <w:rPr>
          <w:rFonts w:ascii="仿宋_GB2312" w:eastAsia="仿宋_GB2312" w:hAnsi="Arial" w:cs="Arial"/>
          <w:sz w:val="30"/>
        </w:rPr>
        <w:t>的相关规定。</w:t>
      </w:r>
    </w:p>
    <w:p w:rsidR="00411026" w:rsidRPr="001B5D15" w:rsidRDefault="00411026" w:rsidP="001B5D15">
      <w:pPr>
        <w:snapToGrid w:val="0"/>
        <w:spacing w:line="360" w:lineRule="auto"/>
        <w:ind w:right="26" w:firstLineChars="189" w:firstLine="567"/>
        <w:rPr>
          <w:rFonts w:ascii="仿宋_GB2312" w:eastAsia="仿宋_GB2312" w:hAnsi="Arial" w:cs="Arial"/>
          <w:sz w:val="30"/>
        </w:rPr>
      </w:pPr>
      <w:r w:rsidRPr="001B5D15">
        <w:rPr>
          <w:rFonts w:ascii="仿宋_GB2312" w:eastAsia="仿宋_GB2312" w:hAnsi="Arial" w:cs="Arial"/>
          <w:sz w:val="30"/>
        </w:rPr>
        <w:t>2、投资者开立基金账户后即可到</w:t>
      </w:r>
      <w:r w:rsidR="00C93CC9">
        <w:rPr>
          <w:rFonts w:ascii="仿宋_GB2312" w:eastAsia="仿宋_GB2312" w:hAnsi="Arial" w:cs="Arial" w:hint="eastAsia"/>
          <w:sz w:val="30"/>
        </w:rPr>
        <w:t>交通银行</w:t>
      </w:r>
      <w:r w:rsidRPr="001B5D15">
        <w:rPr>
          <w:rFonts w:ascii="仿宋_GB2312" w:eastAsia="仿宋_GB2312" w:hAnsi="Arial" w:cs="Arial"/>
          <w:sz w:val="30"/>
        </w:rPr>
        <w:t>申请办理相关万家开放式基金的定期定额申购业务，具体办理程序请遵循</w:t>
      </w:r>
      <w:r w:rsidR="00C93CC9">
        <w:rPr>
          <w:rFonts w:ascii="仿宋_GB2312" w:eastAsia="仿宋_GB2312" w:hAnsi="Arial" w:cs="Arial" w:hint="eastAsia"/>
          <w:sz w:val="30"/>
        </w:rPr>
        <w:t>交通银</w:t>
      </w:r>
      <w:r w:rsidR="00C93CC9">
        <w:rPr>
          <w:rFonts w:ascii="仿宋_GB2312" w:eastAsia="仿宋_GB2312" w:hAnsi="Arial" w:cs="Arial" w:hint="eastAsia"/>
          <w:sz w:val="30"/>
        </w:rPr>
        <w:lastRenderedPageBreak/>
        <w:t>行</w:t>
      </w:r>
      <w:r w:rsidRPr="001B5D15">
        <w:rPr>
          <w:rFonts w:ascii="仿宋_GB2312" w:eastAsia="仿宋_GB2312" w:hAnsi="Arial" w:cs="Arial"/>
          <w:sz w:val="30"/>
        </w:rPr>
        <w:t>的相关规定。</w:t>
      </w:r>
    </w:p>
    <w:p w:rsidR="00411026" w:rsidRPr="001B5D15" w:rsidRDefault="00411026" w:rsidP="001B5D15">
      <w:pPr>
        <w:snapToGrid w:val="0"/>
        <w:spacing w:line="360" w:lineRule="auto"/>
        <w:ind w:leftChars="213" w:left="447" w:right="26" w:firstLineChars="39" w:firstLine="117"/>
        <w:rPr>
          <w:rFonts w:ascii="仿宋_GB2312" w:eastAsia="仿宋_GB2312" w:hAnsi="Arial" w:cs="Arial"/>
          <w:sz w:val="30"/>
        </w:rPr>
      </w:pPr>
      <w:r w:rsidRPr="001B5D15">
        <w:rPr>
          <w:rFonts w:ascii="仿宋_GB2312" w:eastAsia="仿宋_GB2312" w:hAnsi="Arial" w:cs="Arial"/>
          <w:sz w:val="30"/>
        </w:rPr>
        <w:t>（三）办理时间</w:t>
      </w:r>
      <w:r w:rsidRPr="001B5D15">
        <w:rPr>
          <w:rFonts w:ascii="仿宋_GB2312" w:eastAsia="仿宋_GB2312" w:hAnsi="Arial" w:cs="Arial"/>
          <w:sz w:val="30"/>
        </w:rPr>
        <w:br/>
        <w:t>本业务的申请受理时间与基金日常申购业务受理时间相同。</w:t>
      </w:r>
    </w:p>
    <w:p w:rsidR="00411026" w:rsidRPr="001B5D15" w:rsidRDefault="00411026" w:rsidP="001B5D15">
      <w:pPr>
        <w:snapToGrid w:val="0"/>
        <w:spacing w:line="360" w:lineRule="auto"/>
        <w:ind w:leftChars="67" w:left="141" w:right="26" w:firstLineChars="141" w:firstLine="423"/>
        <w:rPr>
          <w:rFonts w:ascii="仿宋_GB2312" w:eastAsia="仿宋_GB2312" w:hAnsi="Arial" w:cs="Arial"/>
          <w:sz w:val="30"/>
        </w:rPr>
      </w:pPr>
      <w:r w:rsidRPr="001B5D15">
        <w:rPr>
          <w:rFonts w:ascii="仿宋_GB2312" w:eastAsia="仿宋_GB2312" w:hAnsi="Arial" w:cs="Arial"/>
          <w:sz w:val="30"/>
        </w:rPr>
        <w:t>（四）申购金额</w:t>
      </w:r>
      <w:r w:rsidRPr="001B5D15">
        <w:rPr>
          <w:rFonts w:ascii="仿宋_GB2312" w:eastAsia="仿宋_GB2312" w:hAnsi="Arial" w:cs="Arial"/>
          <w:sz w:val="30"/>
        </w:rPr>
        <w:br/>
        <w:t>投资者可与</w:t>
      </w:r>
      <w:r w:rsidR="00C93CC9">
        <w:rPr>
          <w:rFonts w:ascii="仿宋_GB2312" w:eastAsia="仿宋_GB2312" w:hAnsi="Arial" w:cs="Arial" w:hint="eastAsia"/>
          <w:sz w:val="30"/>
        </w:rPr>
        <w:t>交通银行</w:t>
      </w:r>
      <w:r w:rsidRPr="001B5D15">
        <w:rPr>
          <w:rFonts w:ascii="仿宋_GB2312" w:eastAsia="仿宋_GB2312" w:hAnsi="Arial" w:cs="Arial"/>
          <w:sz w:val="30"/>
        </w:rPr>
        <w:t>约定每期固定投资金额，每期定期定额申购金额最低下限为人民币100元（</w:t>
      </w:r>
      <w:proofErr w:type="gramStart"/>
      <w:r w:rsidRPr="001B5D15">
        <w:rPr>
          <w:rFonts w:ascii="仿宋_GB2312" w:eastAsia="仿宋_GB2312" w:hAnsi="Arial" w:cs="Arial"/>
          <w:sz w:val="30"/>
        </w:rPr>
        <w:t>含定投</w:t>
      </w:r>
      <w:proofErr w:type="gramEnd"/>
      <w:r w:rsidRPr="001B5D15">
        <w:rPr>
          <w:rFonts w:ascii="仿宋_GB2312" w:eastAsia="仿宋_GB2312" w:hAnsi="Arial" w:cs="Arial"/>
          <w:sz w:val="30"/>
        </w:rPr>
        <w:t>申购费）。</w:t>
      </w:r>
    </w:p>
    <w:p w:rsidR="00411026" w:rsidRDefault="00411026" w:rsidP="001B5D15">
      <w:pPr>
        <w:snapToGrid w:val="0"/>
        <w:spacing w:line="360" w:lineRule="auto"/>
        <w:ind w:right="26" w:firstLineChars="189" w:firstLine="567"/>
        <w:rPr>
          <w:rFonts w:ascii="仿宋_GB2312" w:eastAsia="仿宋_GB2312" w:hAnsi="Arial" w:cs="Arial"/>
          <w:sz w:val="30"/>
        </w:rPr>
      </w:pPr>
      <w:r w:rsidRPr="001B5D15">
        <w:rPr>
          <w:rFonts w:ascii="仿宋_GB2312" w:eastAsia="仿宋_GB2312" w:hAnsi="Arial" w:cs="Arial"/>
          <w:sz w:val="30"/>
        </w:rPr>
        <w:t xml:space="preserve">（五）扣款日期及扣款方式 </w:t>
      </w:r>
    </w:p>
    <w:p w:rsidR="00411026" w:rsidRDefault="00411026" w:rsidP="001B5D15">
      <w:pPr>
        <w:snapToGrid w:val="0"/>
        <w:spacing w:line="360" w:lineRule="auto"/>
        <w:ind w:right="26" w:firstLineChars="189" w:firstLine="567"/>
        <w:rPr>
          <w:rFonts w:ascii="仿宋_GB2312" w:eastAsia="仿宋_GB2312" w:hAnsi="Arial" w:cs="Arial"/>
          <w:sz w:val="30"/>
        </w:rPr>
      </w:pPr>
      <w:r w:rsidRPr="001B5D15">
        <w:rPr>
          <w:rFonts w:ascii="仿宋_GB2312" w:eastAsia="仿宋_GB2312" w:hAnsi="Arial" w:cs="Arial"/>
          <w:sz w:val="30"/>
        </w:rPr>
        <w:t>1．投资者应遵循相关</w:t>
      </w:r>
      <w:r w:rsidR="00C93CC9">
        <w:rPr>
          <w:rFonts w:ascii="仿宋_GB2312" w:eastAsia="仿宋_GB2312" w:hAnsi="Arial" w:cs="Arial" w:hint="eastAsia"/>
          <w:sz w:val="30"/>
        </w:rPr>
        <w:t>交通银行</w:t>
      </w:r>
      <w:r w:rsidRPr="001B5D15">
        <w:rPr>
          <w:rFonts w:ascii="仿宋_GB2312" w:eastAsia="仿宋_GB2312" w:hAnsi="Arial" w:cs="Arial"/>
          <w:sz w:val="30"/>
        </w:rPr>
        <w:t>的规定与其约定每期扣款日期。</w:t>
      </w:r>
    </w:p>
    <w:p w:rsidR="00411026" w:rsidRDefault="00411026" w:rsidP="001B5D15">
      <w:pPr>
        <w:snapToGrid w:val="0"/>
        <w:spacing w:line="360" w:lineRule="auto"/>
        <w:ind w:right="26" w:firstLineChars="189" w:firstLine="567"/>
        <w:rPr>
          <w:rFonts w:ascii="仿宋_GB2312" w:eastAsia="仿宋_GB2312" w:hAnsi="Arial" w:cs="Arial"/>
          <w:sz w:val="30"/>
        </w:rPr>
      </w:pPr>
      <w:r w:rsidRPr="001B5D15">
        <w:rPr>
          <w:rFonts w:ascii="仿宋_GB2312" w:eastAsia="仿宋_GB2312" w:hAnsi="Arial" w:cs="Arial"/>
          <w:sz w:val="30"/>
        </w:rPr>
        <w:t>2．</w:t>
      </w:r>
      <w:r w:rsidR="00C93CC9">
        <w:rPr>
          <w:rFonts w:ascii="仿宋_GB2312" w:eastAsia="仿宋_GB2312" w:hAnsi="Arial" w:cs="Arial" w:hint="eastAsia"/>
          <w:sz w:val="30"/>
        </w:rPr>
        <w:t>交通银行</w:t>
      </w:r>
      <w:r w:rsidRPr="001B5D15">
        <w:rPr>
          <w:rFonts w:ascii="仿宋_GB2312" w:eastAsia="仿宋_GB2312" w:hAnsi="Arial" w:cs="Arial"/>
          <w:sz w:val="30"/>
        </w:rPr>
        <w:t>将按照投资者申请时所约定的每期约定扣款日、扣款金额扣款，若</w:t>
      </w:r>
      <w:proofErr w:type="gramStart"/>
      <w:r w:rsidRPr="001B5D15">
        <w:rPr>
          <w:rFonts w:ascii="仿宋_GB2312" w:eastAsia="仿宋_GB2312" w:hAnsi="Arial" w:cs="Arial"/>
          <w:sz w:val="30"/>
        </w:rPr>
        <w:t>遇非基金</w:t>
      </w:r>
      <w:proofErr w:type="gramEnd"/>
      <w:r w:rsidRPr="001B5D15">
        <w:rPr>
          <w:rFonts w:ascii="仿宋_GB2312" w:eastAsia="仿宋_GB2312" w:hAnsi="Arial" w:cs="Arial"/>
          <w:sz w:val="30"/>
        </w:rPr>
        <w:t>开放日则顺延到下一基金开放日，并以该日为基金申购申请日。</w:t>
      </w:r>
    </w:p>
    <w:p w:rsidR="00411026" w:rsidRDefault="00411026" w:rsidP="001B5D15">
      <w:pPr>
        <w:snapToGrid w:val="0"/>
        <w:spacing w:line="360" w:lineRule="auto"/>
        <w:ind w:right="26" w:firstLineChars="189" w:firstLine="567"/>
        <w:rPr>
          <w:rFonts w:ascii="仿宋_GB2312" w:eastAsia="仿宋_GB2312" w:hAnsi="Arial" w:cs="Arial"/>
          <w:sz w:val="30"/>
        </w:rPr>
      </w:pPr>
      <w:r w:rsidRPr="001B5D15">
        <w:rPr>
          <w:rFonts w:ascii="仿宋_GB2312" w:eastAsia="仿宋_GB2312" w:hAnsi="Arial" w:cs="Arial"/>
          <w:sz w:val="30"/>
        </w:rPr>
        <w:t>3．投资者需指定相关</w:t>
      </w:r>
      <w:r w:rsidR="00C93CC9">
        <w:rPr>
          <w:rFonts w:ascii="仿宋_GB2312" w:eastAsia="仿宋_GB2312" w:hAnsi="Arial" w:cs="Arial" w:hint="eastAsia"/>
          <w:sz w:val="30"/>
        </w:rPr>
        <w:t>交通银行</w:t>
      </w:r>
      <w:r w:rsidRPr="001B5D15">
        <w:rPr>
          <w:rFonts w:ascii="仿宋_GB2312" w:eastAsia="仿宋_GB2312" w:hAnsi="Arial" w:cs="Arial"/>
          <w:sz w:val="30"/>
        </w:rPr>
        <w:t>认可的</w:t>
      </w:r>
      <w:r w:rsidR="00C93CC9">
        <w:rPr>
          <w:rFonts w:ascii="仿宋_GB2312" w:eastAsia="仿宋_GB2312" w:hAnsi="Arial" w:cs="Arial" w:hint="eastAsia"/>
          <w:sz w:val="30"/>
        </w:rPr>
        <w:t>银行</w:t>
      </w:r>
      <w:r w:rsidRPr="001B5D15">
        <w:rPr>
          <w:rFonts w:ascii="仿宋_GB2312" w:eastAsia="仿宋_GB2312" w:hAnsi="Arial" w:cs="Arial"/>
          <w:sz w:val="30"/>
        </w:rPr>
        <w:t>账户作为每期固定扣款账户。</w:t>
      </w:r>
    </w:p>
    <w:p w:rsidR="00411026" w:rsidRPr="001B5D15" w:rsidRDefault="00411026" w:rsidP="001B5D15">
      <w:pPr>
        <w:snapToGrid w:val="0"/>
        <w:spacing w:line="360" w:lineRule="auto"/>
        <w:ind w:right="26" w:firstLineChars="189" w:firstLine="567"/>
        <w:rPr>
          <w:rFonts w:ascii="仿宋_GB2312" w:eastAsia="仿宋_GB2312" w:hAnsi="Arial" w:cs="Arial"/>
          <w:sz w:val="30"/>
        </w:rPr>
      </w:pPr>
      <w:r w:rsidRPr="001B5D15">
        <w:rPr>
          <w:rFonts w:ascii="仿宋_GB2312" w:eastAsia="仿宋_GB2312" w:hAnsi="Arial" w:cs="Arial"/>
          <w:sz w:val="30"/>
        </w:rPr>
        <w:t>4．扣款等其他相关事项请以</w:t>
      </w:r>
      <w:r w:rsidR="003943F2">
        <w:rPr>
          <w:rFonts w:ascii="仿宋_GB2312" w:eastAsia="仿宋_GB2312" w:hAnsi="Arial" w:cs="Arial" w:hint="eastAsia"/>
          <w:sz w:val="30"/>
        </w:rPr>
        <w:t>交通银行</w:t>
      </w:r>
      <w:r w:rsidRPr="001B5D15">
        <w:rPr>
          <w:rFonts w:ascii="仿宋_GB2312" w:eastAsia="仿宋_GB2312" w:hAnsi="Arial" w:cs="Arial"/>
          <w:sz w:val="30"/>
        </w:rPr>
        <w:t>的规定为准。</w:t>
      </w:r>
    </w:p>
    <w:p w:rsidR="003943F2" w:rsidRDefault="00411026" w:rsidP="001B5D15">
      <w:pPr>
        <w:snapToGrid w:val="0"/>
        <w:spacing w:line="360" w:lineRule="auto"/>
        <w:ind w:right="26" w:firstLineChars="189" w:firstLine="567"/>
        <w:rPr>
          <w:rFonts w:ascii="仿宋_GB2312" w:eastAsia="仿宋_GB2312" w:hAnsi="Arial" w:cs="Arial"/>
          <w:sz w:val="30"/>
        </w:rPr>
      </w:pPr>
      <w:r w:rsidRPr="001B5D15">
        <w:rPr>
          <w:rFonts w:ascii="仿宋_GB2312" w:eastAsia="仿宋_GB2312" w:hAnsi="Arial" w:cs="Arial"/>
          <w:sz w:val="30"/>
        </w:rPr>
        <w:t>（六）申购费率</w:t>
      </w:r>
    </w:p>
    <w:p w:rsidR="003943F2" w:rsidRPr="001B5D15" w:rsidRDefault="003943F2" w:rsidP="001B5D15">
      <w:pPr>
        <w:snapToGrid w:val="0"/>
        <w:spacing w:line="360" w:lineRule="auto"/>
        <w:ind w:right="26" w:firstLineChars="189" w:firstLine="567"/>
        <w:rPr>
          <w:rFonts w:ascii="仿宋_GB2312" w:eastAsia="仿宋_GB2312" w:hAnsi="Arial" w:cs="Arial"/>
          <w:sz w:val="30"/>
        </w:rPr>
      </w:pPr>
      <w:r>
        <w:rPr>
          <w:rFonts w:ascii="仿宋_GB2312" w:eastAsia="仿宋_GB2312" w:hAnsi="Arial" w:cs="Arial" w:hint="eastAsia"/>
          <w:sz w:val="30"/>
        </w:rPr>
        <w:t>1、</w:t>
      </w:r>
      <w:r w:rsidR="00411026" w:rsidRPr="001B5D15">
        <w:rPr>
          <w:rFonts w:ascii="仿宋_GB2312" w:eastAsia="仿宋_GB2312" w:hAnsi="Arial" w:cs="Arial"/>
          <w:sz w:val="30"/>
        </w:rPr>
        <w:t>定期定额申购费率及计费方式等同于一般的申购业务。</w:t>
      </w:r>
    </w:p>
    <w:p w:rsidR="00411026" w:rsidRDefault="00411026" w:rsidP="001B5D15">
      <w:pPr>
        <w:snapToGrid w:val="0"/>
        <w:spacing w:line="360" w:lineRule="auto"/>
        <w:ind w:right="26" w:firstLineChars="189" w:firstLine="567"/>
        <w:rPr>
          <w:rFonts w:ascii="仿宋_GB2312" w:eastAsia="仿宋_GB2312" w:hAnsi="Arial" w:cs="Arial"/>
          <w:sz w:val="30"/>
        </w:rPr>
      </w:pPr>
      <w:r w:rsidRPr="001B5D15">
        <w:rPr>
          <w:rFonts w:ascii="仿宋_GB2312" w:eastAsia="仿宋_GB2312" w:hAnsi="Arial" w:cs="Arial"/>
          <w:sz w:val="30"/>
        </w:rPr>
        <w:t>（七）扣款和交易确认</w:t>
      </w:r>
    </w:p>
    <w:p w:rsidR="00411026" w:rsidRPr="001B5D15" w:rsidRDefault="00411026" w:rsidP="001B5D15">
      <w:pPr>
        <w:snapToGrid w:val="0"/>
        <w:spacing w:line="360" w:lineRule="auto"/>
        <w:ind w:right="26" w:firstLineChars="189" w:firstLine="567"/>
        <w:rPr>
          <w:rFonts w:ascii="仿宋_GB2312" w:eastAsia="仿宋_GB2312" w:hAnsi="Arial" w:cs="Arial"/>
          <w:sz w:val="30"/>
        </w:rPr>
      </w:pPr>
      <w:r w:rsidRPr="001B5D15">
        <w:rPr>
          <w:rFonts w:ascii="仿宋_GB2312" w:eastAsia="仿宋_GB2312" w:hAnsi="Arial" w:cs="Arial"/>
          <w:sz w:val="30"/>
        </w:rPr>
        <w:t>基金的注册登记人按照本款第（五）条规则确定的基金申购申请日（T日）的基金份额净值为基准计算申购份额。申购份额将在T+1工作日确认成功后直接计入投资者的基金账户。投资者可自T+2工作日起查询申购成交情况。</w:t>
      </w:r>
    </w:p>
    <w:p w:rsidR="00411026" w:rsidRDefault="00411026" w:rsidP="001B5D15">
      <w:pPr>
        <w:snapToGrid w:val="0"/>
        <w:spacing w:line="360" w:lineRule="auto"/>
        <w:ind w:right="26" w:firstLineChars="142" w:firstLine="426"/>
        <w:rPr>
          <w:rFonts w:ascii="仿宋_GB2312" w:eastAsia="仿宋_GB2312" w:hAnsi="Arial" w:cs="Arial"/>
          <w:sz w:val="30"/>
        </w:rPr>
      </w:pPr>
      <w:r w:rsidRPr="001B5D15">
        <w:rPr>
          <w:rFonts w:ascii="仿宋_GB2312" w:eastAsia="仿宋_GB2312" w:hAnsi="Arial" w:cs="Arial"/>
          <w:sz w:val="30"/>
        </w:rPr>
        <w:t>（八）变更与解约</w:t>
      </w:r>
      <w:r w:rsidRPr="00411026">
        <w:rPr>
          <w:rFonts w:ascii="仿宋_GB2312" w:eastAsia="仿宋_GB2312" w:hAnsi="Arial" w:cs="Arial"/>
          <w:sz w:val="30"/>
        </w:rPr>
        <w:t xml:space="preserve"> </w:t>
      </w:r>
    </w:p>
    <w:p w:rsidR="00411026" w:rsidRDefault="00411026" w:rsidP="001B5D15">
      <w:pPr>
        <w:snapToGrid w:val="0"/>
        <w:spacing w:line="360" w:lineRule="auto"/>
        <w:ind w:right="26" w:firstLineChars="142" w:firstLine="426"/>
        <w:rPr>
          <w:rFonts w:ascii="仿宋_GB2312" w:eastAsia="仿宋_GB2312" w:hAnsi="Arial" w:cs="Arial" w:hint="eastAsia"/>
          <w:sz w:val="30"/>
        </w:rPr>
      </w:pPr>
      <w:r w:rsidRPr="001B5D15">
        <w:rPr>
          <w:rFonts w:ascii="仿宋_GB2312" w:eastAsia="仿宋_GB2312" w:hAnsi="Arial" w:cs="Arial"/>
          <w:sz w:val="30"/>
        </w:rPr>
        <w:t>如果投资者想变更每月扣款金额和扣款日期，可提出变更申</w:t>
      </w:r>
      <w:r w:rsidRPr="001B5D15">
        <w:rPr>
          <w:rFonts w:ascii="仿宋_GB2312" w:eastAsia="仿宋_GB2312" w:hAnsi="Arial" w:cs="Arial"/>
          <w:sz w:val="30"/>
        </w:rPr>
        <w:lastRenderedPageBreak/>
        <w:t>请；如果投资者想终止定期定额申购业务，可提出解除申请，具体办理程序请遵循</w:t>
      </w:r>
      <w:r w:rsidR="003943F2">
        <w:rPr>
          <w:rFonts w:ascii="仿宋_GB2312" w:eastAsia="仿宋_GB2312" w:hAnsi="Arial" w:cs="Arial" w:hint="eastAsia"/>
          <w:sz w:val="30"/>
        </w:rPr>
        <w:t>交通银行</w:t>
      </w:r>
      <w:r w:rsidRPr="001B5D15">
        <w:rPr>
          <w:rFonts w:ascii="仿宋_GB2312" w:eastAsia="仿宋_GB2312" w:hAnsi="Arial" w:cs="Arial"/>
          <w:sz w:val="30"/>
        </w:rPr>
        <w:t>的相关规定。</w:t>
      </w:r>
    </w:p>
    <w:p w:rsidR="00167AD1" w:rsidRPr="00167AD1" w:rsidRDefault="00167AD1" w:rsidP="001B5D15">
      <w:pPr>
        <w:snapToGrid w:val="0"/>
        <w:spacing w:line="360" w:lineRule="auto"/>
        <w:ind w:right="26" w:firstLineChars="142" w:firstLine="426"/>
        <w:rPr>
          <w:rFonts w:ascii="仿宋_GB2312" w:eastAsia="仿宋_GB2312" w:hAnsi="Arial" w:cs="Arial"/>
          <w:sz w:val="30"/>
        </w:rPr>
      </w:pPr>
    </w:p>
    <w:p w:rsidR="0032080D" w:rsidRPr="001B5D15" w:rsidRDefault="001B5D15" w:rsidP="00C72AC9">
      <w:pPr>
        <w:snapToGrid w:val="0"/>
        <w:spacing w:line="360" w:lineRule="auto"/>
        <w:ind w:right="26" w:firstLineChars="189" w:firstLine="567"/>
        <w:rPr>
          <w:rFonts w:ascii="仿宋_GB2312" w:eastAsia="仿宋_GB2312" w:hAnsi="Arial" w:cs="Arial"/>
          <w:sz w:val="30"/>
        </w:rPr>
      </w:pPr>
      <w:r>
        <w:rPr>
          <w:rFonts w:ascii="仿宋_GB2312" w:eastAsia="仿宋_GB2312" w:hAnsi="Arial" w:cs="Arial" w:hint="eastAsia"/>
          <w:sz w:val="30"/>
        </w:rPr>
        <w:t>三、开通旗下基金</w:t>
      </w:r>
      <w:proofErr w:type="gramStart"/>
      <w:r w:rsidR="003943F2" w:rsidRPr="001B5D15">
        <w:rPr>
          <w:rFonts w:ascii="仿宋_GB2312" w:eastAsia="仿宋_GB2312" w:hAnsi="Arial" w:cs="Arial"/>
          <w:sz w:val="30"/>
        </w:rPr>
        <w:t>定投优惠</w:t>
      </w:r>
      <w:proofErr w:type="gramEnd"/>
      <w:r>
        <w:rPr>
          <w:rFonts w:ascii="仿宋_GB2312" w:eastAsia="仿宋_GB2312" w:hAnsi="Arial" w:cs="Arial" w:hint="eastAsia"/>
          <w:sz w:val="30"/>
        </w:rPr>
        <w:t>业务</w:t>
      </w:r>
      <w:r w:rsidR="003943F2" w:rsidRPr="001B5D15">
        <w:rPr>
          <w:rFonts w:ascii="仿宋_GB2312" w:eastAsia="仿宋_GB2312" w:hAnsi="Arial" w:cs="Arial"/>
          <w:sz w:val="30"/>
        </w:rPr>
        <w:t>：</w:t>
      </w:r>
      <w:bookmarkStart w:id="0" w:name="_GoBack"/>
      <w:bookmarkEnd w:id="0"/>
    </w:p>
    <w:p w:rsidR="003943F2" w:rsidRPr="001B5D15" w:rsidRDefault="003943F2" w:rsidP="00C72AC9">
      <w:pPr>
        <w:snapToGrid w:val="0"/>
        <w:spacing w:line="360" w:lineRule="auto"/>
        <w:ind w:right="26" w:firstLineChars="189" w:firstLine="567"/>
        <w:rPr>
          <w:rFonts w:ascii="仿宋_GB2312" w:eastAsia="仿宋_GB2312" w:hAnsi="Arial" w:cs="Arial"/>
          <w:sz w:val="30"/>
        </w:rPr>
      </w:pPr>
      <w:r w:rsidRPr="001B5D15">
        <w:rPr>
          <w:rFonts w:ascii="仿宋_GB2312" w:eastAsia="仿宋_GB2312" w:hAnsi="Arial" w:cs="Arial"/>
          <w:sz w:val="30"/>
        </w:rPr>
        <w:t>通过</w:t>
      </w:r>
      <w:r w:rsidR="0032080D" w:rsidRPr="001B5D15">
        <w:rPr>
          <w:rFonts w:ascii="仿宋_GB2312" w:eastAsia="仿宋_GB2312" w:hAnsi="Arial" w:cs="Arial" w:hint="eastAsia"/>
          <w:sz w:val="30"/>
        </w:rPr>
        <w:t>交通</w:t>
      </w:r>
      <w:r w:rsidRPr="001B5D15">
        <w:rPr>
          <w:rFonts w:ascii="仿宋_GB2312" w:eastAsia="仿宋_GB2312" w:hAnsi="Arial" w:cs="Arial"/>
          <w:sz w:val="30"/>
        </w:rPr>
        <w:t>银行柜台、网上银行及手机银行等办理</w:t>
      </w:r>
      <w:r w:rsidRPr="001B5D15">
        <w:rPr>
          <w:rFonts w:ascii="仿宋_GB2312" w:eastAsia="仿宋_GB2312" w:hAnsi="Arial" w:cs="Arial"/>
          <w:sz w:val="30"/>
        </w:rPr>
        <w:t>“</w:t>
      </w:r>
      <w:r w:rsidRPr="001B5D15">
        <w:rPr>
          <w:rFonts w:ascii="仿宋_GB2312" w:eastAsia="仿宋_GB2312" w:hAnsi="Arial" w:cs="Arial"/>
          <w:sz w:val="30"/>
        </w:rPr>
        <w:t>定期定额投资业务</w:t>
      </w:r>
      <w:r w:rsidRPr="001B5D15">
        <w:rPr>
          <w:rFonts w:ascii="仿宋_GB2312" w:eastAsia="仿宋_GB2312" w:hAnsi="Arial" w:cs="Arial"/>
          <w:sz w:val="30"/>
        </w:rPr>
        <w:t>”</w:t>
      </w:r>
      <w:r w:rsidRPr="001B5D15">
        <w:rPr>
          <w:rFonts w:ascii="仿宋_GB2312" w:eastAsia="仿宋_GB2312" w:hAnsi="Arial" w:cs="Arial"/>
          <w:sz w:val="30"/>
        </w:rPr>
        <w:t>，前端申购费率享受8</w:t>
      </w:r>
      <w:r w:rsidR="0032080D" w:rsidRPr="001B5D15">
        <w:rPr>
          <w:rFonts w:ascii="仿宋_GB2312" w:eastAsia="仿宋_GB2312" w:hAnsi="Arial" w:cs="Arial"/>
          <w:sz w:val="30"/>
        </w:rPr>
        <w:t>折优惠</w:t>
      </w:r>
      <w:r w:rsidR="001B5D15">
        <w:rPr>
          <w:rFonts w:ascii="仿宋_GB2312" w:eastAsia="仿宋_GB2312" w:hAnsi="Arial" w:cs="Arial" w:hint="eastAsia"/>
          <w:sz w:val="30"/>
        </w:rPr>
        <w:t>。</w:t>
      </w:r>
      <w:r w:rsidRPr="001B5D15">
        <w:rPr>
          <w:rFonts w:ascii="仿宋_GB2312" w:eastAsia="仿宋_GB2312" w:hAnsi="Arial" w:cs="Arial"/>
          <w:sz w:val="30"/>
        </w:rPr>
        <w:t>上述优惠折扣费率不得低于0.6%，低于0.6%的，按照0.6%收取；原申购费率等于、低于0.6%或适用固定费率的，则按原费率执行，不再享有费率折扣优惠。货币基金和0费率债券型基金不参加优惠活动。</w:t>
      </w:r>
    </w:p>
    <w:p w:rsidR="003D5AA4" w:rsidRPr="00411026" w:rsidRDefault="003D5AA4" w:rsidP="00385F58">
      <w:pPr>
        <w:snapToGrid w:val="0"/>
        <w:spacing w:line="360" w:lineRule="auto"/>
        <w:ind w:right="26" w:firstLineChars="189" w:firstLine="567"/>
        <w:rPr>
          <w:rFonts w:ascii="仿宋_GB2312" w:eastAsia="仿宋_GB2312" w:hAnsi="Arial" w:cs="Arial"/>
          <w:sz w:val="30"/>
        </w:rPr>
      </w:pPr>
    </w:p>
    <w:p w:rsidR="00385F58" w:rsidRPr="00385F58" w:rsidRDefault="001B5D15" w:rsidP="00385F58">
      <w:pPr>
        <w:snapToGrid w:val="0"/>
        <w:spacing w:line="360" w:lineRule="auto"/>
        <w:ind w:right="26" w:firstLineChars="189" w:firstLine="567"/>
        <w:rPr>
          <w:rFonts w:ascii="仿宋_GB2312" w:eastAsia="仿宋_GB2312" w:hAnsi="Arial" w:cs="Arial"/>
          <w:sz w:val="30"/>
        </w:rPr>
      </w:pPr>
      <w:r>
        <w:rPr>
          <w:rFonts w:ascii="仿宋_GB2312" w:eastAsia="仿宋_GB2312" w:hAnsi="Arial" w:cs="Arial" w:hint="eastAsia"/>
          <w:sz w:val="30"/>
        </w:rPr>
        <w:t>四</w:t>
      </w:r>
      <w:r w:rsidR="00385F58" w:rsidRPr="00385F58">
        <w:rPr>
          <w:rFonts w:ascii="仿宋_GB2312" w:eastAsia="仿宋_GB2312" w:hAnsi="Arial" w:cs="Arial"/>
          <w:sz w:val="30"/>
        </w:rPr>
        <w:t>、投资者可以通过以下途径咨询有关详情：</w:t>
      </w:r>
    </w:p>
    <w:p w:rsidR="00385F58" w:rsidRPr="00385F58" w:rsidRDefault="00385F58" w:rsidP="00385F58">
      <w:pPr>
        <w:snapToGrid w:val="0"/>
        <w:spacing w:line="360" w:lineRule="auto"/>
        <w:ind w:right="26" w:firstLineChars="189" w:firstLine="567"/>
        <w:rPr>
          <w:rFonts w:ascii="仿宋_GB2312" w:eastAsia="仿宋_GB2312" w:hAnsi="Arial" w:cs="Arial"/>
          <w:sz w:val="30"/>
        </w:rPr>
      </w:pPr>
      <w:r w:rsidRPr="00385F58">
        <w:rPr>
          <w:rFonts w:ascii="仿宋_GB2312" w:eastAsia="仿宋_GB2312" w:hAnsi="Arial" w:cs="Arial"/>
          <w:sz w:val="30"/>
        </w:rPr>
        <w:t>1、</w:t>
      </w:r>
      <w:r w:rsidR="00FA12AF" w:rsidRPr="00883F6C">
        <w:rPr>
          <w:rFonts w:ascii="仿宋_GB2312" w:eastAsia="仿宋_GB2312"/>
          <w:sz w:val="30"/>
        </w:rPr>
        <w:t>交通银行</w:t>
      </w:r>
      <w:r w:rsidR="00FA12AF" w:rsidRPr="00883F6C">
        <w:rPr>
          <w:rFonts w:ascii="仿宋_GB2312" w:eastAsia="仿宋_GB2312" w:hAnsi="Arial" w:cs="Arial"/>
          <w:sz w:val="30"/>
        </w:rPr>
        <w:t>股份有限公司</w:t>
      </w:r>
    </w:p>
    <w:p w:rsidR="00385F58" w:rsidRPr="00385F58" w:rsidRDefault="00FA12AF" w:rsidP="00AD7685">
      <w:pPr>
        <w:snapToGrid w:val="0"/>
        <w:spacing w:line="360" w:lineRule="auto"/>
        <w:ind w:leftChars="269" w:left="565" w:right="26"/>
        <w:rPr>
          <w:rFonts w:ascii="仿宋_GB2312" w:eastAsia="仿宋_GB2312" w:hAnsi="Arial" w:cs="Arial"/>
          <w:sz w:val="30"/>
        </w:rPr>
      </w:pPr>
      <w:r w:rsidRPr="00883F6C">
        <w:rPr>
          <w:rFonts w:ascii="仿宋_GB2312" w:eastAsia="仿宋_GB2312" w:hAnsi="Arial" w:cs="Arial" w:hint="eastAsia"/>
          <w:sz w:val="30"/>
        </w:rPr>
        <w:t>客户服务电话</w:t>
      </w:r>
      <w:r w:rsidRPr="00883F6C">
        <w:rPr>
          <w:rFonts w:ascii="仿宋_GB2312" w:eastAsia="仿宋_GB2312" w:hAnsi="Arial" w:cs="Arial"/>
          <w:sz w:val="30"/>
        </w:rPr>
        <w:t>：</w:t>
      </w:r>
      <w:r>
        <w:rPr>
          <w:rFonts w:ascii="仿宋_GB2312" w:eastAsia="仿宋_GB2312" w:hAnsi="Arial" w:cs="Arial" w:hint="eastAsia"/>
          <w:sz w:val="30"/>
        </w:rPr>
        <w:t>95559</w:t>
      </w:r>
      <w:r w:rsidRPr="00883F6C">
        <w:rPr>
          <w:rFonts w:ascii="仿宋_GB2312" w:eastAsia="仿宋_GB2312" w:hAnsi="Arial" w:cs="Arial"/>
          <w:sz w:val="30"/>
        </w:rPr>
        <w:br/>
        <w:t>公司网址：</w:t>
      </w:r>
      <w:hyperlink r:id="rId7" w:history="1">
        <w:r w:rsidRPr="00026C71">
          <w:rPr>
            <w:rFonts w:ascii="仿宋_GB2312" w:eastAsia="仿宋_GB2312" w:hAnsi="Arial" w:cs="Arial" w:hint="eastAsia"/>
            <w:sz w:val="30"/>
          </w:rPr>
          <w:t>www.bankcomm.com</w:t>
        </w:r>
      </w:hyperlink>
    </w:p>
    <w:p w:rsidR="00385F58" w:rsidRPr="00385F58" w:rsidRDefault="00385F58" w:rsidP="00385F58">
      <w:pPr>
        <w:snapToGrid w:val="0"/>
        <w:spacing w:line="360" w:lineRule="auto"/>
        <w:ind w:right="26" w:firstLineChars="189" w:firstLine="567"/>
        <w:rPr>
          <w:rFonts w:ascii="仿宋_GB2312" w:eastAsia="仿宋_GB2312" w:hAnsi="Arial" w:cs="Arial"/>
          <w:sz w:val="30"/>
        </w:rPr>
      </w:pPr>
      <w:r w:rsidRPr="00385F58">
        <w:rPr>
          <w:rFonts w:ascii="仿宋_GB2312" w:eastAsia="仿宋_GB2312" w:hAnsi="Arial" w:cs="Arial"/>
          <w:sz w:val="30"/>
        </w:rPr>
        <w:t>2.万家基金管理有限公司</w:t>
      </w:r>
    </w:p>
    <w:p w:rsidR="00385F58" w:rsidRPr="00385F58" w:rsidRDefault="00385F58" w:rsidP="00385F58">
      <w:pPr>
        <w:snapToGrid w:val="0"/>
        <w:spacing w:line="360" w:lineRule="auto"/>
        <w:ind w:right="26" w:firstLineChars="189" w:firstLine="567"/>
        <w:rPr>
          <w:rFonts w:ascii="仿宋_GB2312" w:eastAsia="仿宋_GB2312" w:hAnsi="Arial" w:cs="Arial"/>
          <w:sz w:val="30"/>
        </w:rPr>
      </w:pPr>
      <w:r w:rsidRPr="00385F58">
        <w:rPr>
          <w:rFonts w:ascii="仿宋_GB2312" w:eastAsia="仿宋_GB2312" w:hAnsi="Arial" w:cs="Arial"/>
          <w:sz w:val="30"/>
        </w:rPr>
        <w:t>客户电话：400-888-0800、(021)68644599</w:t>
      </w:r>
    </w:p>
    <w:p w:rsidR="00385F58" w:rsidRPr="00385F58" w:rsidRDefault="00385F58" w:rsidP="00385F58">
      <w:pPr>
        <w:snapToGrid w:val="0"/>
        <w:spacing w:line="360" w:lineRule="auto"/>
        <w:ind w:right="26" w:firstLineChars="189" w:firstLine="567"/>
        <w:rPr>
          <w:rFonts w:ascii="仿宋_GB2312" w:eastAsia="仿宋_GB2312" w:hAnsi="Arial" w:cs="Arial"/>
          <w:sz w:val="30"/>
        </w:rPr>
      </w:pPr>
      <w:r w:rsidRPr="00385F58">
        <w:rPr>
          <w:rFonts w:ascii="仿宋_GB2312" w:eastAsia="仿宋_GB2312" w:hAnsi="Arial" w:cs="Arial"/>
          <w:sz w:val="30"/>
        </w:rPr>
        <w:t>客服传真：021-38619968</w:t>
      </w:r>
    </w:p>
    <w:p w:rsidR="00385F58" w:rsidRDefault="00385F58" w:rsidP="00385F58">
      <w:pPr>
        <w:snapToGrid w:val="0"/>
        <w:spacing w:line="360" w:lineRule="auto"/>
        <w:ind w:right="26" w:firstLineChars="189" w:firstLine="567"/>
        <w:rPr>
          <w:rFonts w:ascii="仿宋_GB2312" w:eastAsia="仿宋_GB2312" w:hAnsi="Arial" w:cs="Arial"/>
          <w:sz w:val="30"/>
        </w:rPr>
      </w:pPr>
      <w:r w:rsidRPr="00385F58">
        <w:rPr>
          <w:rFonts w:ascii="仿宋_GB2312" w:eastAsia="仿宋_GB2312" w:hAnsi="Arial" w:cs="Arial"/>
          <w:sz w:val="30"/>
        </w:rPr>
        <w:t>网址：</w:t>
      </w:r>
      <w:hyperlink r:id="rId8" w:history="1">
        <w:r w:rsidRPr="00385F58">
          <w:rPr>
            <w:rFonts w:ascii="仿宋_GB2312" w:eastAsia="仿宋_GB2312" w:hAnsi="Arial" w:cs="Arial"/>
            <w:sz w:val="30"/>
          </w:rPr>
          <w:t>www.wjasset.com</w:t>
        </w:r>
      </w:hyperlink>
      <w:r w:rsidRPr="00385F58">
        <w:rPr>
          <w:rFonts w:ascii="仿宋_GB2312" w:eastAsia="仿宋_GB2312" w:hAnsi="Arial" w:cs="Arial"/>
          <w:sz w:val="30"/>
        </w:rPr>
        <w:t xml:space="preserve"> </w:t>
      </w:r>
    </w:p>
    <w:p w:rsidR="003D5AA4" w:rsidRPr="00385F58" w:rsidRDefault="003D5AA4" w:rsidP="00385F58">
      <w:pPr>
        <w:snapToGrid w:val="0"/>
        <w:spacing w:line="360" w:lineRule="auto"/>
        <w:ind w:right="26" w:firstLineChars="189" w:firstLine="567"/>
        <w:rPr>
          <w:rFonts w:ascii="仿宋_GB2312" w:eastAsia="仿宋_GB2312" w:hAnsi="Arial" w:cs="Arial"/>
          <w:sz w:val="30"/>
        </w:rPr>
      </w:pPr>
    </w:p>
    <w:p w:rsidR="00385F58" w:rsidRPr="00385F58" w:rsidRDefault="001B5D15" w:rsidP="00385F58">
      <w:pPr>
        <w:snapToGrid w:val="0"/>
        <w:spacing w:line="360" w:lineRule="auto"/>
        <w:ind w:right="26" w:firstLineChars="189" w:firstLine="567"/>
        <w:rPr>
          <w:rFonts w:ascii="仿宋_GB2312" w:eastAsia="仿宋_GB2312" w:hAnsi="Arial" w:cs="Arial"/>
          <w:sz w:val="30"/>
        </w:rPr>
      </w:pPr>
      <w:r>
        <w:rPr>
          <w:rFonts w:ascii="仿宋_GB2312" w:eastAsia="仿宋_GB2312" w:hAnsi="Arial" w:cs="Arial" w:hint="eastAsia"/>
          <w:sz w:val="30"/>
        </w:rPr>
        <w:t>五</w:t>
      </w:r>
      <w:r w:rsidR="00385F58" w:rsidRPr="00385F58">
        <w:rPr>
          <w:rFonts w:ascii="仿宋_GB2312" w:eastAsia="仿宋_GB2312" w:hAnsi="Arial" w:cs="Arial"/>
          <w:sz w:val="30"/>
        </w:rPr>
        <w:t>、风险提示：投资者欲了解上述基金详细情况，请参看各基金的《基金合同》和《招募说明书》，基金管理人不承诺基金投资最低收益、也不保证基金投资一定赢利，请投资者在充分考虑风险的情况下谨慎</w:t>
      </w:r>
      <w:proofErr w:type="gramStart"/>
      <w:r w:rsidR="00385F58" w:rsidRPr="00385F58">
        <w:rPr>
          <w:rFonts w:ascii="仿宋_GB2312" w:eastAsia="仿宋_GB2312" w:hAnsi="Arial" w:cs="Arial"/>
          <w:sz w:val="30"/>
        </w:rPr>
        <w:t>作出</w:t>
      </w:r>
      <w:proofErr w:type="gramEnd"/>
      <w:r w:rsidR="00385F58" w:rsidRPr="00385F58">
        <w:rPr>
          <w:rFonts w:ascii="仿宋_GB2312" w:eastAsia="仿宋_GB2312" w:hAnsi="Arial" w:cs="Arial"/>
          <w:sz w:val="30"/>
        </w:rPr>
        <w:t>投资决策。</w:t>
      </w:r>
    </w:p>
    <w:p w:rsidR="00385F58" w:rsidRPr="00385F58" w:rsidRDefault="00385F58" w:rsidP="00385F58">
      <w:pPr>
        <w:snapToGrid w:val="0"/>
        <w:spacing w:line="360" w:lineRule="auto"/>
        <w:ind w:right="26" w:firstLineChars="189" w:firstLine="567"/>
        <w:rPr>
          <w:rFonts w:ascii="仿宋_GB2312" w:eastAsia="仿宋_GB2312" w:hAnsi="Arial" w:cs="Arial"/>
          <w:sz w:val="30"/>
        </w:rPr>
      </w:pPr>
      <w:r w:rsidRPr="00385F58">
        <w:rPr>
          <w:rFonts w:ascii="仿宋_GB2312" w:eastAsia="仿宋_GB2312" w:hAnsi="Arial" w:cs="Arial"/>
          <w:sz w:val="30"/>
        </w:rPr>
        <w:t>特此公告。</w:t>
      </w:r>
    </w:p>
    <w:p w:rsidR="00385F58" w:rsidRPr="00385F58" w:rsidRDefault="00385F58" w:rsidP="00385F58">
      <w:pPr>
        <w:snapToGrid w:val="0"/>
        <w:spacing w:line="360" w:lineRule="auto"/>
        <w:ind w:right="26"/>
        <w:rPr>
          <w:rFonts w:ascii="仿宋_GB2312" w:eastAsia="仿宋_GB2312" w:hAnsi="Arial" w:cs="Arial"/>
          <w:sz w:val="30"/>
        </w:rPr>
      </w:pPr>
      <w:r w:rsidRPr="00385F58">
        <w:rPr>
          <w:rFonts w:ascii="仿宋_GB2312" w:eastAsia="仿宋_GB2312" w:hAnsi="Arial" w:cs="Arial"/>
          <w:sz w:val="30"/>
        </w:rPr>
        <w:lastRenderedPageBreak/>
        <w:t> </w:t>
      </w:r>
    </w:p>
    <w:p w:rsidR="00385F58" w:rsidRPr="00385F58" w:rsidRDefault="00385F58" w:rsidP="00385F58">
      <w:pPr>
        <w:snapToGrid w:val="0"/>
        <w:spacing w:line="360" w:lineRule="auto"/>
        <w:ind w:right="26"/>
        <w:jc w:val="right"/>
        <w:rPr>
          <w:rFonts w:ascii="仿宋_GB2312" w:eastAsia="仿宋_GB2312" w:hAnsi="Arial" w:cs="Arial"/>
          <w:sz w:val="30"/>
        </w:rPr>
      </w:pPr>
      <w:r w:rsidRPr="00385F58">
        <w:rPr>
          <w:rFonts w:ascii="仿宋_GB2312" w:eastAsia="仿宋_GB2312" w:hAnsi="Arial" w:cs="Arial"/>
          <w:sz w:val="30"/>
        </w:rPr>
        <w:t>万家基金管理有限公司</w:t>
      </w:r>
    </w:p>
    <w:p w:rsidR="00385F58" w:rsidRPr="00385F58" w:rsidRDefault="00385F58" w:rsidP="00385F58">
      <w:pPr>
        <w:snapToGrid w:val="0"/>
        <w:spacing w:line="360" w:lineRule="auto"/>
        <w:ind w:right="26"/>
        <w:jc w:val="right"/>
        <w:rPr>
          <w:rFonts w:ascii="仿宋_GB2312" w:eastAsia="仿宋_GB2312" w:hAnsi="Arial" w:cs="Arial"/>
          <w:sz w:val="30"/>
        </w:rPr>
      </w:pPr>
      <w:r w:rsidRPr="00385F58">
        <w:rPr>
          <w:rFonts w:ascii="仿宋_GB2312" w:eastAsia="仿宋_GB2312" w:hAnsi="Arial" w:cs="Arial"/>
          <w:sz w:val="30"/>
        </w:rPr>
        <w:t>201</w:t>
      </w:r>
      <w:r>
        <w:rPr>
          <w:rFonts w:ascii="仿宋_GB2312" w:eastAsia="仿宋_GB2312" w:hAnsi="Arial" w:cs="Arial" w:hint="eastAsia"/>
          <w:sz w:val="30"/>
        </w:rPr>
        <w:t>4</w:t>
      </w:r>
      <w:r w:rsidRPr="00385F58">
        <w:rPr>
          <w:rFonts w:ascii="仿宋_GB2312" w:eastAsia="仿宋_GB2312" w:hAnsi="Arial" w:cs="Arial"/>
          <w:sz w:val="30"/>
        </w:rPr>
        <w:t>年</w:t>
      </w:r>
      <w:r>
        <w:rPr>
          <w:rFonts w:ascii="仿宋_GB2312" w:eastAsia="仿宋_GB2312" w:hAnsi="Arial" w:cs="Arial" w:hint="eastAsia"/>
          <w:sz w:val="30"/>
        </w:rPr>
        <w:t>7</w:t>
      </w:r>
      <w:r w:rsidRPr="00385F58">
        <w:rPr>
          <w:rFonts w:ascii="仿宋_GB2312" w:eastAsia="仿宋_GB2312" w:hAnsi="Arial" w:cs="Arial"/>
          <w:sz w:val="30"/>
        </w:rPr>
        <w:t>月</w:t>
      </w:r>
      <w:r>
        <w:rPr>
          <w:rFonts w:ascii="仿宋_GB2312" w:eastAsia="仿宋_GB2312" w:hAnsi="Arial" w:cs="Arial" w:hint="eastAsia"/>
          <w:sz w:val="30"/>
        </w:rPr>
        <w:t>11</w:t>
      </w:r>
      <w:r w:rsidRPr="00385F58">
        <w:rPr>
          <w:rFonts w:ascii="仿宋_GB2312" w:eastAsia="仿宋_GB2312" w:hAnsi="Arial" w:cs="Arial"/>
          <w:sz w:val="30"/>
        </w:rPr>
        <w:t>日</w:t>
      </w:r>
    </w:p>
    <w:p w:rsidR="00D77C29" w:rsidRDefault="00D77C29"/>
    <w:sectPr w:rsidR="00D77C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73E" w:rsidRDefault="0016673E" w:rsidP="003D5AA4">
      <w:r>
        <w:separator/>
      </w:r>
    </w:p>
  </w:endnote>
  <w:endnote w:type="continuationSeparator" w:id="0">
    <w:p w:rsidR="0016673E" w:rsidRDefault="0016673E" w:rsidP="003D5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73E" w:rsidRDefault="0016673E" w:rsidP="003D5AA4">
      <w:r>
        <w:separator/>
      </w:r>
    </w:p>
  </w:footnote>
  <w:footnote w:type="continuationSeparator" w:id="0">
    <w:p w:rsidR="0016673E" w:rsidRDefault="0016673E" w:rsidP="003D5A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F58"/>
    <w:rsid w:val="00026C71"/>
    <w:rsid w:val="0016673E"/>
    <w:rsid w:val="00167AD1"/>
    <w:rsid w:val="001B5D15"/>
    <w:rsid w:val="0032080D"/>
    <w:rsid w:val="00385F58"/>
    <w:rsid w:val="003943F2"/>
    <w:rsid w:val="003D5AA4"/>
    <w:rsid w:val="00411026"/>
    <w:rsid w:val="004402BE"/>
    <w:rsid w:val="005032B6"/>
    <w:rsid w:val="005A120C"/>
    <w:rsid w:val="008972DF"/>
    <w:rsid w:val="00A73975"/>
    <w:rsid w:val="00A919FE"/>
    <w:rsid w:val="00AD7685"/>
    <w:rsid w:val="00C172EB"/>
    <w:rsid w:val="00C52202"/>
    <w:rsid w:val="00C72AC9"/>
    <w:rsid w:val="00C93CC9"/>
    <w:rsid w:val="00D77C29"/>
    <w:rsid w:val="00DA2058"/>
    <w:rsid w:val="00DA47E7"/>
    <w:rsid w:val="00E03E9C"/>
    <w:rsid w:val="00E5712D"/>
    <w:rsid w:val="00F36108"/>
    <w:rsid w:val="00FA1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85F58"/>
    <w:rPr>
      <w:strike w:val="0"/>
      <w:dstrike w:val="0"/>
      <w:color w:val="333333"/>
      <w:u w:val="none"/>
      <w:effect w:val="none"/>
    </w:rPr>
  </w:style>
  <w:style w:type="paragraph" w:styleId="a4">
    <w:name w:val="Normal (Web)"/>
    <w:basedOn w:val="a"/>
    <w:uiPriority w:val="99"/>
    <w:semiHidden/>
    <w:unhideWhenUsed/>
    <w:rsid w:val="00385F58"/>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E03E9C"/>
    <w:rPr>
      <w:sz w:val="18"/>
      <w:szCs w:val="18"/>
    </w:rPr>
  </w:style>
  <w:style w:type="character" w:customStyle="1" w:styleId="Char">
    <w:name w:val="批注框文本 Char"/>
    <w:basedOn w:val="a0"/>
    <w:link w:val="a5"/>
    <w:uiPriority w:val="99"/>
    <w:semiHidden/>
    <w:rsid w:val="00E03E9C"/>
    <w:rPr>
      <w:sz w:val="18"/>
      <w:szCs w:val="18"/>
    </w:rPr>
  </w:style>
  <w:style w:type="paragraph" w:styleId="a6">
    <w:name w:val="header"/>
    <w:basedOn w:val="a"/>
    <w:link w:val="Char0"/>
    <w:uiPriority w:val="99"/>
    <w:unhideWhenUsed/>
    <w:rsid w:val="003D5AA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3D5AA4"/>
    <w:rPr>
      <w:sz w:val="18"/>
      <w:szCs w:val="18"/>
    </w:rPr>
  </w:style>
  <w:style w:type="paragraph" w:styleId="a7">
    <w:name w:val="footer"/>
    <w:basedOn w:val="a"/>
    <w:link w:val="Char1"/>
    <w:uiPriority w:val="99"/>
    <w:unhideWhenUsed/>
    <w:rsid w:val="003D5AA4"/>
    <w:pPr>
      <w:tabs>
        <w:tab w:val="center" w:pos="4153"/>
        <w:tab w:val="right" w:pos="8306"/>
      </w:tabs>
      <w:snapToGrid w:val="0"/>
      <w:jc w:val="left"/>
    </w:pPr>
    <w:rPr>
      <w:sz w:val="18"/>
      <w:szCs w:val="18"/>
    </w:rPr>
  </w:style>
  <w:style w:type="character" w:customStyle="1" w:styleId="Char1">
    <w:name w:val="页脚 Char"/>
    <w:basedOn w:val="a0"/>
    <w:link w:val="a7"/>
    <w:uiPriority w:val="99"/>
    <w:rsid w:val="003D5AA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85F58"/>
    <w:rPr>
      <w:strike w:val="0"/>
      <w:dstrike w:val="0"/>
      <w:color w:val="333333"/>
      <w:u w:val="none"/>
      <w:effect w:val="none"/>
    </w:rPr>
  </w:style>
  <w:style w:type="paragraph" w:styleId="a4">
    <w:name w:val="Normal (Web)"/>
    <w:basedOn w:val="a"/>
    <w:uiPriority w:val="99"/>
    <w:semiHidden/>
    <w:unhideWhenUsed/>
    <w:rsid w:val="00385F58"/>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E03E9C"/>
    <w:rPr>
      <w:sz w:val="18"/>
      <w:szCs w:val="18"/>
    </w:rPr>
  </w:style>
  <w:style w:type="character" w:customStyle="1" w:styleId="Char">
    <w:name w:val="批注框文本 Char"/>
    <w:basedOn w:val="a0"/>
    <w:link w:val="a5"/>
    <w:uiPriority w:val="99"/>
    <w:semiHidden/>
    <w:rsid w:val="00E03E9C"/>
    <w:rPr>
      <w:sz w:val="18"/>
      <w:szCs w:val="18"/>
    </w:rPr>
  </w:style>
  <w:style w:type="paragraph" w:styleId="a6">
    <w:name w:val="header"/>
    <w:basedOn w:val="a"/>
    <w:link w:val="Char0"/>
    <w:uiPriority w:val="99"/>
    <w:unhideWhenUsed/>
    <w:rsid w:val="003D5AA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3D5AA4"/>
    <w:rPr>
      <w:sz w:val="18"/>
      <w:szCs w:val="18"/>
    </w:rPr>
  </w:style>
  <w:style w:type="paragraph" w:styleId="a7">
    <w:name w:val="footer"/>
    <w:basedOn w:val="a"/>
    <w:link w:val="Char1"/>
    <w:uiPriority w:val="99"/>
    <w:unhideWhenUsed/>
    <w:rsid w:val="003D5AA4"/>
    <w:pPr>
      <w:tabs>
        <w:tab w:val="center" w:pos="4153"/>
        <w:tab w:val="right" w:pos="8306"/>
      </w:tabs>
      <w:snapToGrid w:val="0"/>
      <w:jc w:val="left"/>
    </w:pPr>
    <w:rPr>
      <w:sz w:val="18"/>
      <w:szCs w:val="18"/>
    </w:rPr>
  </w:style>
  <w:style w:type="character" w:customStyle="1" w:styleId="Char1">
    <w:name w:val="页脚 Char"/>
    <w:basedOn w:val="a0"/>
    <w:link w:val="a7"/>
    <w:uiPriority w:val="99"/>
    <w:rsid w:val="003D5AA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16215">
      <w:bodyDiv w:val="1"/>
      <w:marLeft w:val="0"/>
      <w:marRight w:val="0"/>
      <w:marTop w:val="0"/>
      <w:marBottom w:val="0"/>
      <w:divBdr>
        <w:top w:val="none" w:sz="0" w:space="0" w:color="auto"/>
        <w:left w:val="none" w:sz="0" w:space="0" w:color="auto"/>
        <w:bottom w:val="none" w:sz="0" w:space="0" w:color="auto"/>
        <w:right w:val="none" w:sz="0" w:space="0" w:color="auto"/>
      </w:divBdr>
    </w:div>
    <w:div w:id="883711108">
      <w:bodyDiv w:val="1"/>
      <w:marLeft w:val="0"/>
      <w:marRight w:val="0"/>
      <w:marTop w:val="0"/>
      <w:marBottom w:val="0"/>
      <w:divBdr>
        <w:top w:val="none" w:sz="0" w:space="0" w:color="auto"/>
        <w:left w:val="none" w:sz="0" w:space="0" w:color="auto"/>
        <w:bottom w:val="none" w:sz="0" w:space="0" w:color="auto"/>
        <w:right w:val="none" w:sz="0" w:space="0" w:color="auto"/>
      </w:divBdr>
      <w:divsChild>
        <w:div w:id="1220089992">
          <w:marLeft w:val="0"/>
          <w:marRight w:val="0"/>
          <w:marTop w:val="0"/>
          <w:marBottom w:val="0"/>
          <w:divBdr>
            <w:top w:val="none" w:sz="0" w:space="0" w:color="auto"/>
            <w:left w:val="none" w:sz="0" w:space="0" w:color="auto"/>
            <w:bottom w:val="none" w:sz="0" w:space="0" w:color="auto"/>
            <w:right w:val="none" w:sz="0" w:space="0" w:color="auto"/>
          </w:divBdr>
          <w:divsChild>
            <w:div w:id="245920865">
              <w:marLeft w:val="0"/>
              <w:marRight w:val="0"/>
              <w:marTop w:val="0"/>
              <w:marBottom w:val="0"/>
              <w:divBdr>
                <w:top w:val="none" w:sz="0" w:space="0" w:color="auto"/>
                <w:left w:val="none" w:sz="0" w:space="0" w:color="auto"/>
                <w:bottom w:val="none" w:sz="0" w:space="0" w:color="auto"/>
                <w:right w:val="none" w:sz="0" w:space="0" w:color="auto"/>
              </w:divBdr>
              <w:divsChild>
                <w:div w:id="403456041">
                  <w:marLeft w:val="0"/>
                  <w:marRight w:val="0"/>
                  <w:marTop w:val="0"/>
                  <w:marBottom w:val="0"/>
                  <w:divBdr>
                    <w:top w:val="none" w:sz="0" w:space="0" w:color="auto"/>
                    <w:left w:val="none" w:sz="0" w:space="0" w:color="auto"/>
                    <w:bottom w:val="none" w:sz="0" w:space="0" w:color="auto"/>
                    <w:right w:val="none" w:sz="0" w:space="0" w:color="auto"/>
                  </w:divBdr>
                  <w:divsChild>
                    <w:div w:id="165715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415573">
      <w:bodyDiv w:val="1"/>
      <w:marLeft w:val="0"/>
      <w:marRight w:val="0"/>
      <w:marTop w:val="0"/>
      <w:marBottom w:val="0"/>
      <w:divBdr>
        <w:top w:val="none" w:sz="0" w:space="0" w:color="auto"/>
        <w:left w:val="none" w:sz="0" w:space="0" w:color="auto"/>
        <w:bottom w:val="none" w:sz="0" w:space="0" w:color="auto"/>
        <w:right w:val="none" w:sz="0" w:space="0" w:color="auto"/>
      </w:divBdr>
    </w:div>
    <w:div w:id="1625692447">
      <w:bodyDiv w:val="1"/>
      <w:marLeft w:val="0"/>
      <w:marRight w:val="0"/>
      <w:marTop w:val="0"/>
      <w:marBottom w:val="0"/>
      <w:divBdr>
        <w:top w:val="none" w:sz="0" w:space="0" w:color="auto"/>
        <w:left w:val="none" w:sz="0" w:space="0" w:color="auto"/>
        <w:bottom w:val="none" w:sz="0" w:space="0" w:color="auto"/>
        <w:right w:val="none" w:sz="0" w:space="0" w:color="auto"/>
      </w:divBdr>
    </w:div>
    <w:div w:id="1767918632">
      <w:bodyDiv w:val="1"/>
      <w:marLeft w:val="0"/>
      <w:marRight w:val="0"/>
      <w:marTop w:val="0"/>
      <w:marBottom w:val="0"/>
      <w:divBdr>
        <w:top w:val="none" w:sz="0" w:space="0" w:color="auto"/>
        <w:left w:val="none" w:sz="0" w:space="0" w:color="auto"/>
        <w:bottom w:val="none" w:sz="0" w:space="0" w:color="auto"/>
        <w:right w:val="none" w:sz="0" w:space="0" w:color="auto"/>
      </w:divBdr>
    </w:div>
    <w:div w:id="1805000988">
      <w:bodyDiv w:val="1"/>
      <w:marLeft w:val="0"/>
      <w:marRight w:val="0"/>
      <w:marTop w:val="0"/>
      <w:marBottom w:val="0"/>
      <w:divBdr>
        <w:top w:val="none" w:sz="0" w:space="0" w:color="auto"/>
        <w:left w:val="none" w:sz="0" w:space="0" w:color="auto"/>
        <w:bottom w:val="none" w:sz="0" w:space="0" w:color="auto"/>
        <w:right w:val="none" w:sz="0" w:space="0" w:color="auto"/>
      </w:divBdr>
      <w:divsChild>
        <w:div w:id="1020937941">
          <w:marLeft w:val="0"/>
          <w:marRight w:val="0"/>
          <w:marTop w:val="0"/>
          <w:marBottom w:val="0"/>
          <w:divBdr>
            <w:top w:val="none" w:sz="0" w:space="0" w:color="auto"/>
            <w:left w:val="none" w:sz="0" w:space="0" w:color="auto"/>
            <w:bottom w:val="none" w:sz="0" w:space="0" w:color="auto"/>
            <w:right w:val="none" w:sz="0" w:space="0" w:color="auto"/>
          </w:divBdr>
          <w:divsChild>
            <w:div w:id="1087533813">
              <w:marLeft w:val="0"/>
              <w:marRight w:val="0"/>
              <w:marTop w:val="0"/>
              <w:marBottom w:val="0"/>
              <w:divBdr>
                <w:top w:val="none" w:sz="0" w:space="0" w:color="auto"/>
                <w:left w:val="none" w:sz="0" w:space="0" w:color="auto"/>
                <w:bottom w:val="none" w:sz="0" w:space="0" w:color="auto"/>
                <w:right w:val="none" w:sz="0" w:space="0" w:color="auto"/>
              </w:divBdr>
              <w:divsChild>
                <w:div w:id="1031565685">
                  <w:marLeft w:val="0"/>
                  <w:marRight w:val="0"/>
                  <w:marTop w:val="0"/>
                  <w:marBottom w:val="0"/>
                  <w:divBdr>
                    <w:top w:val="none" w:sz="0" w:space="0" w:color="auto"/>
                    <w:left w:val="none" w:sz="0" w:space="0" w:color="auto"/>
                    <w:bottom w:val="none" w:sz="0" w:space="0" w:color="auto"/>
                    <w:right w:val="none" w:sz="0" w:space="0" w:color="auto"/>
                  </w:divBdr>
                  <w:divsChild>
                    <w:div w:id="12721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jasset.com/" TargetMode="External"/><Relationship Id="rId3" Type="http://schemas.openxmlformats.org/officeDocument/2006/relationships/settings" Target="settings.xml"/><Relationship Id="rId7" Type="http://schemas.openxmlformats.org/officeDocument/2006/relationships/hyperlink" Target="http://www.bankcomm.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6</Pages>
  <Words>419</Words>
  <Characters>2390</Characters>
  <Application>Microsoft Office Word</Application>
  <DocSecurity>0</DocSecurity>
  <Lines>19</Lines>
  <Paragraphs>5</Paragraphs>
  <ScaleCrop>false</ScaleCrop>
  <Company/>
  <LinksUpToDate>false</LinksUpToDate>
  <CharactersWithSpaces>2804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曹艳芬</dc:creator>
  <cp:lastModifiedBy>曹艳芬</cp:lastModifiedBy>
  <cp:revision>15</cp:revision>
  <dcterms:created xsi:type="dcterms:W3CDTF">2014-07-08T02:32:00Z</dcterms:created>
  <dcterms:modified xsi:type="dcterms:W3CDTF">2014-07-09T05:07:00Z</dcterms:modified>
</cp:coreProperties>
</file>